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8"/>
        <w:gridCol w:w="3250"/>
        <w:gridCol w:w="3248"/>
      </w:tblGrid>
      <w:tr w:rsidR="003756E4" w14:paraId="49FC3E83" w14:textId="77777777">
        <w:tblPrEx>
          <w:tblCellMar>
            <w:top w:w="0" w:type="dxa"/>
            <w:bottom w:w="0" w:type="dxa"/>
          </w:tblCellMar>
        </w:tblPrEx>
        <w:tc>
          <w:tcPr>
            <w:tcW w:w="9746" w:type="dxa"/>
            <w:gridSpan w:val="3"/>
            <w:tcBorders>
              <w:top w:val="none" w:sz="0" w:space="0" w:color="FFFFFF"/>
              <w:left w:val="none" w:sz="0" w:space="0" w:color="FFFFFF"/>
              <w:bottom w:val="none" w:sz="0" w:space="0" w:color="FFFFFF"/>
              <w:right w:val="none" w:sz="0" w:space="0" w:color="FFFFFF"/>
            </w:tcBorders>
            <w:shd w:val="clear" w:color="auto" w:fill="0A0E17"/>
            <w:tcMar>
              <w:top w:w="400" w:type="dxa"/>
              <w:left w:w="500" w:type="dxa"/>
              <w:bottom w:w="80" w:type="dxa"/>
              <w:right w:w="500" w:type="dxa"/>
            </w:tcMar>
          </w:tcPr>
          <w:p w14:paraId="73308BC6" w14:textId="77777777" w:rsidR="003756E4" w:rsidRDefault="00000000">
            <w:proofErr w:type="spellStart"/>
            <w:r>
              <w:rPr>
                <w:b/>
                <w:bCs/>
                <w:color w:val="C9A84C"/>
                <w:sz w:val="56"/>
                <w:szCs w:val="56"/>
              </w:rPr>
              <w:t>MacroLibre</w:t>
            </w:r>
            <w:proofErr w:type="spellEnd"/>
          </w:p>
          <w:p w14:paraId="286F1EC5" w14:textId="77777777" w:rsidR="003756E4" w:rsidRDefault="00000000">
            <w:r>
              <w:rPr>
                <w:color w:val="64748B"/>
              </w:rPr>
              <w:t>macrolibre.com</w:t>
            </w:r>
          </w:p>
        </w:tc>
      </w:tr>
      <w:tr w:rsidR="003756E4" w14:paraId="466B4A87" w14:textId="77777777">
        <w:tblPrEx>
          <w:tblCellMar>
            <w:top w:w="0" w:type="dxa"/>
            <w:bottom w:w="0" w:type="dxa"/>
          </w:tblCellMar>
        </w:tblPrEx>
        <w:tc>
          <w:tcPr>
            <w:tcW w:w="3248" w:type="dxa"/>
            <w:tcBorders>
              <w:top w:val="none" w:sz="0" w:space="0" w:color="FFFFFF"/>
              <w:left w:val="none" w:sz="0" w:space="0" w:color="FFFFFF"/>
              <w:bottom w:val="none" w:sz="0" w:space="0" w:color="FFFFFF"/>
              <w:right w:val="none" w:sz="0" w:space="0" w:color="FFFFFF"/>
            </w:tcBorders>
            <w:shd w:val="clear" w:color="auto" w:fill="C9A84C"/>
          </w:tcPr>
          <w:p w14:paraId="6CF70459" w14:textId="77777777" w:rsidR="003756E4" w:rsidRDefault="003756E4"/>
        </w:tc>
        <w:tc>
          <w:tcPr>
            <w:tcW w:w="3250" w:type="dxa"/>
            <w:tcBorders>
              <w:top w:val="none" w:sz="0" w:space="0" w:color="FFFFFF"/>
              <w:left w:val="none" w:sz="0" w:space="0" w:color="FFFFFF"/>
              <w:bottom w:val="none" w:sz="0" w:space="0" w:color="FFFFFF"/>
              <w:right w:val="none" w:sz="0" w:space="0" w:color="FFFFFF"/>
            </w:tcBorders>
            <w:shd w:val="clear" w:color="auto" w:fill="0D9488"/>
          </w:tcPr>
          <w:p w14:paraId="5B6EC596" w14:textId="77777777" w:rsidR="003756E4" w:rsidRDefault="003756E4"/>
        </w:tc>
        <w:tc>
          <w:tcPr>
            <w:tcW w:w="3248" w:type="dxa"/>
            <w:tcBorders>
              <w:top w:val="none" w:sz="0" w:space="0" w:color="FFFFFF"/>
              <w:left w:val="none" w:sz="0" w:space="0" w:color="FFFFFF"/>
              <w:bottom w:val="none" w:sz="0" w:space="0" w:color="FFFFFF"/>
              <w:right w:val="none" w:sz="0" w:space="0" w:color="FFFFFF"/>
            </w:tcBorders>
            <w:shd w:val="clear" w:color="auto" w:fill="06B6D4"/>
          </w:tcPr>
          <w:p w14:paraId="439F040D" w14:textId="77777777" w:rsidR="003756E4" w:rsidRDefault="003756E4"/>
        </w:tc>
      </w:tr>
      <w:tr w:rsidR="003756E4" w14:paraId="0C3A1A81" w14:textId="77777777">
        <w:tblPrEx>
          <w:tblCellMar>
            <w:top w:w="0" w:type="dxa"/>
            <w:bottom w:w="0" w:type="dxa"/>
          </w:tblCellMar>
        </w:tblPrEx>
        <w:tc>
          <w:tcPr>
            <w:tcW w:w="9746" w:type="dxa"/>
            <w:gridSpan w:val="3"/>
            <w:tcBorders>
              <w:top w:val="none" w:sz="0" w:space="0" w:color="FFFFFF"/>
              <w:left w:val="none" w:sz="0" w:space="0" w:color="FFFFFF"/>
              <w:bottom w:val="none" w:sz="0" w:space="0" w:color="FFFFFF"/>
              <w:right w:val="none" w:sz="0" w:space="0" w:color="FFFFFF"/>
            </w:tcBorders>
            <w:shd w:val="clear" w:color="auto" w:fill="F8FAFC"/>
            <w:tcMar>
              <w:top w:w="600" w:type="dxa"/>
              <w:left w:w="700" w:type="dxa"/>
              <w:bottom w:w="600" w:type="dxa"/>
              <w:right w:w="700" w:type="dxa"/>
            </w:tcMar>
          </w:tcPr>
          <w:p w14:paraId="1D16F4C9" w14:textId="77777777" w:rsidR="003756E4" w:rsidRDefault="00000000">
            <w:pPr>
              <w:spacing w:before="200" w:after="60"/>
              <w:jc w:val="center"/>
            </w:pPr>
            <w:r>
              <w:rPr>
                <w:color w:val="6B7280"/>
                <w:spacing w:val="120"/>
                <w:sz w:val="28"/>
                <w:szCs w:val="28"/>
              </w:rPr>
              <w:t>INFORME MACROECONÓMICO</w:t>
            </w:r>
          </w:p>
          <w:p w14:paraId="14B99166" w14:textId="77777777" w:rsidR="003756E4" w:rsidRDefault="00000000">
            <w:pPr>
              <w:spacing w:after="80"/>
              <w:jc w:val="center"/>
            </w:pPr>
            <w:proofErr w:type="spellStart"/>
            <w:r>
              <w:rPr>
                <w:b/>
                <w:bCs/>
                <w:color w:val="0A0E17"/>
                <w:sz w:val="72"/>
                <w:szCs w:val="72"/>
              </w:rPr>
              <w:t>MacroLibre</w:t>
            </w:r>
            <w:proofErr w:type="spellEnd"/>
          </w:p>
          <w:p w14:paraId="2E0BA962" w14:textId="77777777" w:rsidR="003756E4" w:rsidRDefault="00000000">
            <w:pPr>
              <w:spacing w:after="40"/>
              <w:jc w:val="center"/>
            </w:pPr>
            <w:r>
              <w:rPr>
                <w:b/>
                <w:bCs/>
                <w:color w:val="C9A84C"/>
                <w:sz w:val="52"/>
                <w:szCs w:val="52"/>
              </w:rPr>
              <w:t>MAYO 2026</w:t>
            </w:r>
          </w:p>
          <w:p w14:paraId="106DD857" w14:textId="77777777" w:rsidR="003756E4" w:rsidRDefault="003756E4"/>
          <w:p w14:paraId="61113CDF" w14:textId="77777777" w:rsidR="003756E4" w:rsidRDefault="00000000">
            <w:pPr>
              <w:jc w:val="center"/>
            </w:pPr>
            <w:r>
              <w:rPr>
                <w:i/>
                <w:iCs/>
                <w:color w:val="6B7280"/>
              </w:rPr>
              <w:t>Análisis de coyuntura y proyecciones de variables macroeconómicas seleccionadas</w:t>
            </w:r>
          </w:p>
          <w:p w14:paraId="6D592AD9" w14:textId="77777777" w:rsidR="003756E4" w:rsidRDefault="003756E4"/>
          <w:p w14:paraId="10CDBFFF" w14:textId="77777777" w:rsidR="003756E4" w:rsidRDefault="003756E4"/>
          <w:p w14:paraId="404B422C" w14:textId="77777777" w:rsidR="003756E4" w:rsidRDefault="003756E4">
            <w:pPr>
              <w:pBdr>
                <w:bottom w:val="single" w:sz="4" w:space="1" w:color="0D9488"/>
              </w:pBdr>
              <w:jc w:val="center"/>
            </w:pPr>
          </w:p>
          <w:p w14:paraId="22367617" w14:textId="77777777" w:rsidR="003756E4" w:rsidRDefault="003756E4"/>
          <w:p w14:paraId="1E5D1D9C" w14:textId="77777777" w:rsidR="003756E4" w:rsidRDefault="00000000">
            <w:pPr>
              <w:spacing w:before="60"/>
              <w:jc w:val="center"/>
            </w:pPr>
            <w:r>
              <w:rPr>
                <w:color w:val="6B7280"/>
                <w:sz w:val="20"/>
                <w:szCs w:val="20"/>
              </w:rPr>
              <w:t>Edición N°1  |  22 de mayo de 2026</w:t>
            </w:r>
          </w:p>
          <w:p w14:paraId="7545A78F" w14:textId="77777777" w:rsidR="003756E4" w:rsidRDefault="00000000">
            <w:pPr>
              <w:jc w:val="center"/>
            </w:pPr>
            <w:r>
              <w:rPr>
                <w:color w:val="6B7280"/>
                <w:sz w:val="20"/>
                <w:szCs w:val="20"/>
              </w:rPr>
              <w:t>Equipo de Análisis — MacroLibre.com</w:t>
            </w:r>
          </w:p>
        </w:tc>
      </w:tr>
      <w:tr w:rsidR="003756E4" w14:paraId="1C136966" w14:textId="77777777">
        <w:tblPrEx>
          <w:tblCellMar>
            <w:top w:w="0" w:type="dxa"/>
            <w:bottom w:w="0" w:type="dxa"/>
          </w:tblCellMar>
        </w:tblPrEx>
        <w:tc>
          <w:tcPr>
            <w:tcW w:w="9746" w:type="dxa"/>
            <w:gridSpan w:val="3"/>
            <w:tcBorders>
              <w:top w:val="none" w:sz="0" w:space="0" w:color="FFFFFF"/>
              <w:left w:val="none" w:sz="0" w:space="0" w:color="FFFFFF"/>
              <w:bottom w:val="none" w:sz="0" w:space="0" w:color="FFFFFF"/>
              <w:right w:val="none" w:sz="0" w:space="0" w:color="FFFFFF"/>
            </w:tcBorders>
            <w:shd w:val="clear" w:color="auto" w:fill="0A0E17"/>
            <w:tcMar>
              <w:top w:w="180" w:type="dxa"/>
              <w:left w:w="500" w:type="dxa"/>
              <w:bottom w:w="180" w:type="dxa"/>
              <w:right w:w="500" w:type="dxa"/>
            </w:tcMar>
          </w:tcPr>
          <w:p w14:paraId="2C177C97" w14:textId="77777777" w:rsidR="003756E4" w:rsidRDefault="00000000">
            <w:pPr>
              <w:jc w:val="center"/>
            </w:pPr>
            <w:r>
              <w:rPr>
                <w:i/>
                <w:iCs/>
                <w:color w:val="94A3B8"/>
                <w:sz w:val="16"/>
                <w:szCs w:val="16"/>
              </w:rPr>
              <w:t>Este informe es elaborado con fines de análisis y divulgación. No constituye asesoramiento de inversión.</w:t>
            </w:r>
          </w:p>
        </w:tc>
      </w:tr>
    </w:tbl>
    <w:p w14:paraId="2FBF3EE7" w14:textId="77777777" w:rsidR="003756E4" w:rsidRDefault="00000000">
      <w:r>
        <w:br w:type="page"/>
      </w:r>
    </w:p>
    <w:p w14:paraId="56DCFD62" w14:textId="77777777" w:rsidR="003756E4" w:rsidRDefault="003756E4">
      <w:pPr>
        <w:sectPr w:rsidR="003756E4">
          <w:pgSz w:w="11906" w:h="16838"/>
          <w:pgMar w:top="720" w:right="1080" w:bottom="720" w:left="1080" w:header="708" w:footer="708" w:gutter="0"/>
          <w:cols w:space="720"/>
          <w:docGrid w:linePitch="360"/>
        </w:sectPr>
      </w:pPr>
    </w:p>
    <w:p w14:paraId="76F16DCB" w14:textId="77777777" w:rsidR="003756E4" w:rsidRDefault="00000000">
      <w:pPr>
        <w:pStyle w:val="Ttulo1"/>
        <w:pBdr>
          <w:bottom w:val="single" w:sz="6" w:space="4" w:color="C9A84C"/>
        </w:pBdr>
        <w:spacing w:after="100"/>
      </w:pPr>
      <w:r>
        <w:lastRenderedPageBreak/>
        <w:t>Resumen Ejecutivo</w:t>
      </w:r>
    </w:p>
    <w:p w14:paraId="2108AB39" w14:textId="3C8F97A6" w:rsidR="000A2D88" w:rsidRDefault="000A2D88">
      <w:pPr>
        <w:spacing w:before="60" w:after="60" w:line="276" w:lineRule="auto"/>
        <w:jc w:val="both"/>
      </w:pPr>
      <w:r>
        <w:t xml:space="preserve">Abril de 2026 dejó una combinación macroeconómica favorable: desaceleración de la inflación, recuperación de la actividad y fortalecimiento del sector externo. El IPC general se ubicó en 2,6% mensual, el EMAE de marzo mostró una suba interanual de 5,5% y el superávit comercial de abril alcanzó USD 2.711 millones, el mayor para ese mes. Al mismo tiempo, las reservas brutas del BCRA cerraron en USD 44.516 millones y el sector público nacional registró un superávit primario de $632.844 millones. </w:t>
      </w:r>
    </w:p>
    <w:p w14:paraId="50C43596" w14:textId="77777777" w:rsidR="004F7416" w:rsidRDefault="004F7416">
      <w:pPr>
        <w:spacing w:before="60" w:after="60" w:line="276" w:lineRule="auto"/>
        <w:jc w:val="both"/>
      </w:pPr>
      <w:r>
        <w:t>La combinación de menor inflación mensual, recuperación del nivel de actividad y mejora de las cuentas externas sugiere un escenario de mayor orden macroeconómico relativo respecto de los meses previos. Sin embargo, buena parte de esta mejora todavía depende de factores que deberán consolidarse en el corto plazo, entre ellos la continuidad de la disciplina fiscal, la estabilidad del esquema cambiario y la capacidad de sostener la desaceleración inflacionaria sin interrumpir la recuperación.</w:t>
      </w:r>
    </w:p>
    <w:p w14:paraId="5D262F60" w14:textId="77777777" w:rsidR="003756E4" w:rsidRDefault="003756E4"/>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66"/>
        <w:gridCol w:w="3067"/>
        <w:gridCol w:w="3067"/>
      </w:tblGrid>
      <w:tr w:rsidR="003756E4" w14:paraId="6B357360" w14:textId="77777777">
        <w:tblPrEx>
          <w:tblCellMar>
            <w:top w:w="0" w:type="dxa"/>
            <w:bottom w:w="0" w:type="dxa"/>
          </w:tblCellMar>
        </w:tblPrEx>
        <w:tc>
          <w:tcPr>
            <w:tcW w:w="3066" w:type="dxa"/>
            <w:tcBorders>
              <w:top w:val="none" w:sz="0" w:space="0" w:color="FFFFFF"/>
              <w:left w:val="none" w:sz="0" w:space="0" w:color="FFFFFF"/>
              <w:bottom w:val="none" w:sz="0" w:space="0" w:color="FFFFFF"/>
              <w:right w:val="none" w:sz="0" w:space="0" w:color="FFFFFF"/>
            </w:tcBorders>
            <w:shd w:val="clear" w:color="auto" w:fill="0A0E17"/>
            <w:tcMar>
              <w:top w:w="120" w:type="dxa"/>
              <w:left w:w="140" w:type="dxa"/>
              <w:bottom w:w="120" w:type="dxa"/>
              <w:right w:w="140" w:type="dxa"/>
            </w:tcMar>
          </w:tcPr>
          <w:p w14:paraId="1CF4533D" w14:textId="77777777" w:rsidR="003756E4" w:rsidRDefault="00000000">
            <w:pPr>
              <w:spacing w:before="40"/>
              <w:jc w:val="center"/>
            </w:pPr>
            <w:r>
              <w:rPr>
                <w:b/>
                <w:bCs/>
                <w:color w:val="C9A84C"/>
                <w:sz w:val="44"/>
                <w:szCs w:val="44"/>
              </w:rPr>
              <w:t>2,6%</w:t>
            </w:r>
          </w:p>
          <w:p w14:paraId="642A0B12" w14:textId="77777777" w:rsidR="003756E4" w:rsidRDefault="00000000">
            <w:pPr>
              <w:jc w:val="center"/>
            </w:pPr>
            <w:r>
              <w:rPr>
                <w:color w:val="94A3B8"/>
                <w:sz w:val="18"/>
                <w:szCs w:val="18"/>
              </w:rPr>
              <w:t>variación mensual</w:t>
            </w:r>
          </w:p>
          <w:p w14:paraId="3BF7AF6B" w14:textId="77777777" w:rsidR="003756E4" w:rsidRDefault="00000000">
            <w:pPr>
              <w:spacing w:after="40"/>
              <w:jc w:val="center"/>
            </w:pPr>
            <w:r>
              <w:rPr>
                <w:b/>
                <w:bCs/>
                <w:color w:val="FFFFFF"/>
                <w:sz w:val="19"/>
                <w:szCs w:val="19"/>
              </w:rPr>
              <w:t>IPC Abril 2026</w:t>
            </w:r>
          </w:p>
        </w:tc>
        <w:tc>
          <w:tcPr>
            <w:tcW w:w="3066" w:type="dxa"/>
            <w:tcBorders>
              <w:top w:val="none" w:sz="0" w:space="0" w:color="FFFFFF"/>
              <w:left w:val="none" w:sz="0" w:space="0" w:color="FFFFFF"/>
              <w:bottom w:val="none" w:sz="0" w:space="0" w:color="FFFFFF"/>
              <w:right w:val="none" w:sz="0" w:space="0" w:color="FFFFFF"/>
            </w:tcBorders>
            <w:shd w:val="clear" w:color="auto" w:fill="1E3A5F"/>
            <w:tcMar>
              <w:top w:w="120" w:type="dxa"/>
              <w:left w:w="140" w:type="dxa"/>
              <w:bottom w:w="120" w:type="dxa"/>
              <w:right w:w="140" w:type="dxa"/>
            </w:tcMar>
          </w:tcPr>
          <w:p w14:paraId="28117BB5" w14:textId="77777777" w:rsidR="003756E4" w:rsidRDefault="00000000">
            <w:pPr>
              <w:spacing w:before="40"/>
              <w:jc w:val="center"/>
            </w:pPr>
            <w:r>
              <w:rPr>
                <w:b/>
                <w:bCs/>
                <w:color w:val="C9A84C"/>
                <w:sz w:val="44"/>
                <w:szCs w:val="44"/>
              </w:rPr>
              <w:t>+5,5%</w:t>
            </w:r>
          </w:p>
          <w:p w14:paraId="41C38E71" w14:textId="77777777" w:rsidR="003756E4" w:rsidRDefault="00000000">
            <w:pPr>
              <w:jc w:val="center"/>
            </w:pPr>
            <w:r>
              <w:rPr>
                <w:color w:val="94A3B8"/>
                <w:sz w:val="18"/>
                <w:szCs w:val="18"/>
              </w:rPr>
              <w:t>interanual</w:t>
            </w:r>
          </w:p>
          <w:p w14:paraId="063C6E07" w14:textId="77777777" w:rsidR="003756E4" w:rsidRDefault="00000000">
            <w:pPr>
              <w:spacing w:after="40"/>
              <w:jc w:val="center"/>
            </w:pPr>
            <w:r>
              <w:rPr>
                <w:b/>
                <w:bCs/>
                <w:color w:val="FFFFFF"/>
                <w:sz w:val="19"/>
                <w:szCs w:val="19"/>
              </w:rPr>
              <w:t xml:space="preserve">EMAE Marzo </w:t>
            </w:r>
            <w:proofErr w:type="spellStart"/>
            <w:r>
              <w:rPr>
                <w:b/>
                <w:bCs/>
                <w:color w:val="FFFFFF"/>
                <w:sz w:val="19"/>
                <w:szCs w:val="19"/>
              </w:rPr>
              <w:t>i.a</w:t>
            </w:r>
            <w:proofErr w:type="spellEnd"/>
            <w:r>
              <w:rPr>
                <w:b/>
                <w:bCs/>
                <w:color w:val="FFFFFF"/>
                <w:sz w:val="19"/>
                <w:szCs w:val="19"/>
              </w:rPr>
              <w:t>.</w:t>
            </w:r>
          </w:p>
        </w:tc>
        <w:tc>
          <w:tcPr>
            <w:tcW w:w="3066" w:type="dxa"/>
            <w:tcBorders>
              <w:top w:val="none" w:sz="0" w:space="0" w:color="FFFFFF"/>
              <w:left w:val="none" w:sz="0" w:space="0" w:color="FFFFFF"/>
              <w:bottom w:val="none" w:sz="0" w:space="0" w:color="FFFFFF"/>
              <w:right w:val="none" w:sz="0" w:space="0" w:color="FFFFFF"/>
            </w:tcBorders>
            <w:shd w:val="clear" w:color="auto" w:fill="0D9488"/>
            <w:tcMar>
              <w:top w:w="120" w:type="dxa"/>
              <w:left w:w="140" w:type="dxa"/>
              <w:bottom w:w="120" w:type="dxa"/>
              <w:right w:w="140" w:type="dxa"/>
            </w:tcMar>
          </w:tcPr>
          <w:p w14:paraId="5755C860" w14:textId="77777777" w:rsidR="003756E4" w:rsidRDefault="00000000">
            <w:pPr>
              <w:spacing w:before="40"/>
              <w:jc w:val="center"/>
            </w:pPr>
            <w:r>
              <w:rPr>
                <w:b/>
                <w:bCs/>
                <w:color w:val="C9A84C"/>
                <w:sz w:val="44"/>
                <w:szCs w:val="44"/>
              </w:rPr>
              <w:t>USD 2.711M</w:t>
            </w:r>
          </w:p>
          <w:p w14:paraId="10F4EFCE" w14:textId="77777777" w:rsidR="003756E4" w:rsidRDefault="00000000">
            <w:pPr>
              <w:jc w:val="center"/>
            </w:pPr>
            <w:r>
              <w:rPr>
                <w:color w:val="94A3B8"/>
                <w:sz w:val="18"/>
                <w:szCs w:val="18"/>
              </w:rPr>
              <w:t>abril 2026 (récord)</w:t>
            </w:r>
          </w:p>
          <w:p w14:paraId="1FA07F04" w14:textId="77777777" w:rsidR="003756E4" w:rsidRDefault="00000000">
            <w:pPr>
              <w:spacing w:after="40"/>
              <w:jc w:val="center"/>
            </w:pPr>
            <w:r>
              <w:rPr>
                <w:b/>
                <w:bCs/>
                <w:color w:val="FFFFFF"/>
                <w:sz w:val="19"/>
                <w:szCs w:val="19"/>
              </w:rPr>
              <w:t>Superávit Comercial</w:t>
            </w:r>
          </w:p>
        </w:tc>
      </w:tr>
    </w:tbl>
    <w:p w14:paraId="7C98092E" w14:textId="77777777" w:rsidR="003756E4" w:rsidRDefault="003756E4"/>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66"/>
        <w:gridCol w:w="3067"/>
        <w:gridCol w:w="3067"/>
      </w:tblGrid>
      <w:tr w:rsidR="003756E4" w14:paraId="593C7A10" w14:textId="77777777">
        <w:tblPrEx>
          <w:tblCellMar>
            <w:top w:w="0" w:type="dxa"/>
            <w:bottom w:w="0" w:type="dxa"/>
          </w:tblCellMar>
        </w:tblPrEx>
        <w:tc>
          <w:tcPr>
            <w:tcW w:w="3066" w:type="dxa"/>
            <w:tcBorders>
              <w:top w:val="none" w:sz="0" w:space="0" w:color="FFFFFF"/>
              <w:left w:val="none" w:sz="0" w:space="0" w:color="FFFFFF"/>
              <w:bottom w:val="none" w:sz="0" w:space="0" w:color="FFFFFF"/>
              <w:right w:val="none" w:sz="0" w:space="0" w:color="FFFFFF"/>
            </w:tcBorders>
            <w:shd w:val="clear" w:color="auto" w:fill="0F3460"/>
            <w:tcMar>
              <w:top w:w="120" w:type="dxa"/>
              <w:left w:w="140" w:type="dxa"/>
              <w:bottom w:w="120" w:type="dxa"/>
              <w:right w:w="140" w:type="dxa"/>
            </w:tcMar>
          </w:tcPr>
          <w:p w14:paraId="6FA52BB5" w14:textId="77777777" w:rsidR="003756E4" w:rsidRDefault="00000000">
            <w:pPr>
              <w:spacing w:before="40"/>
              <w:jc w:val="center"/>
            </w:pPr>
            <w:r>
              <w:rPr>
                <w:b/>
                <w:bCs/>
                <w:color w:val="C9A84C"/>
                <w:sz w:val="44"/>
                <w:szCs w:val="44"/>
              </w:rPr>
              <w:t>USD 44.516M</w:t>
            </w:r>
          </w:p>
          <w:p w14:paraId="2E8AC4A7" w14:textId="77777777" w:rsidR="003756E4" w:rsidRDefault="00000000">
            <w:pPr>
              <w:jc w:val="center"/>
            </w:pPr>
            <w:r>
              <w:rPr>
                <w:color w:val="94A3B8"/>
                <w:sz w:val="18"/>
                <w:szCs w:val="18"/>
              </w:rPr>
              <w:t>al 30/04/2026</w:t>
            </w:r>
          </w:p>
          <w:p w14:paraId="1CA704ED" w14:textId="77777777" w:rsidR="003756E4" w:rsidRDefault="00000000">
            <w:pPr>
              <w:spacing w:after="40"/>
              <w:jc w:val="center"/>
            </w:pPr>
            <w:r>
              <w:rPr>
                <w:b/>
                <w:bCs/>
                <w:color w:val="FFFFFF"/>
                <w:sz w:val="19"/>
                <w:szCs w:val="19"/>
              </w:rPr>
              <w:t>Reservas BCRA</w:t>
            </w:r>
          </w:p>
        </w:tc>
        <w:tc>
          <w:tcPr>
            <w:tcW w:w="3066" w:type="dxa"/>
            <w:tcBorders>
              <w:top w:val="none" w:sz="0" w:space="0" w:color="FFFFFF"/>
              <w:left w:val="none" w:sz="0" w:space="0" w:color="FFFFFF"/>
              <w:bottom w:val="none" w:sz="0" w:space="0" w:color="FFFFFF"/>
              <w:right w:val="none" w:sz="0" w:space="0" w:color="FFFFFF"/>
            </w:tcBorders>
            <w:shd w:val="clear" w:color="auto" w:fill="0A0E17"/>
            <w:tcMar>
              <w:top w:w="120" w:type="dxa"/>
              <w:left w:w="140" w:type="dxa"/>
              <w:bottom w:w="120" w:type="dxa"/>
              <w:right w:w="140" w:type="dxa"/>
            </w:tcMar>
          </w:tcPr>
          <w:p w14:paraId="4E74ABCC" w14:textId="77777777" w:rsidR="003756E4" w:rsidRDefault="00000000">
            <w:pPr>
              <w:spacing w:before="40"/>
              <w:jc w:val="center"/>
            </w:pPr>
            <w:r>
              <w:rPr>
                <w:b/>
                <w:bCs/>
                <w:color w:val="C9A84C"/>
                <w:sz w:val="44"/>
                <w:szCs w:val="44"/>
              </w:rPr>
              <w:t>$632.844M</w:t>
            </w:r>
          </w:p>
          <w:p w14:paraId="6CEF97AF" w14:textId="77777777" w:rsidR="003756E4" w:rsidRDefault="00000000">
            <w:pPr>
              <w:jc w:val="center"/>
            </w:pPr>
            <w:r>
              <w:rPr>
                <w:color w:val="94A3B8"/>
                <w:sz w:val="18"/>
                <w:szCs w:val="18"/>
              </w:rPr>
              <w:t>abril 2026</w:t>
            </w:r>
          </w:p>
          <w:p w14:paraId="3E9B07F7" w14:textId="77777777" w:rsidR="003756E4" w:rsidRDefault="00000000">
            <w:pPr>
              <w:spacing w:after="40"/>
              <w:jc w:val="center"/>
            </w:pPr>
            <w:r>
              <w:rPr>
                <w:b/>
                <w:bCs/>
                <w:color w:val="FFFFFF"/>
                <w:sz w:val="19"/>
                <w:szCs w:val="19"/>
              </w:rPr>
              <w:t>Superávit Primario</w:t>
            </w:r>
          </w:p>
        </w:tc>
        <w:tc>
          <w:tcPr>
            <w:tcW w:w="3066" w:type="dxa"/>
            <w:tcBorders>
              <w:top w:val="none" w:sz="0" w:space="0" w:color="FFFFFF"/>
              <w:left w:val="none" w:sz="0" w:space="0" w:color="FFFFFF"/>
              <w:bottom w:val="none" w:sz="0" w:space="0" w:color="FFFFFF"/>
              <w:right w:val="none" w:sz="0" w:space="0" w:color="FFFFFF"/>
            </w:tcBorders>
            <w:shd w:val="clear" w:color="auto" w:fill="1E3A5F"/>
            <w:tcMar>
              <w:top w:w="120" w:type="dxa"/>
              <w:left w:w="140" w:type="dxa"/>
              <w:bottom w:w="120" w:type="dxa"/>
              <w:right w:w="140" w:type="dxa"/>
            </w:tcMar>
          </w:tcPr>
          <w:p w14:paraId="5C8D5E14" w14:textId="77777777" w:rsidR="003756E4" w:rsidRDefault="00000000">
            <w:pPr>
              <w:spacing w:before="40"/>
              <w:jc w:val="center"/>
            </w:pPr>
            <w:r>
              <w:rPr>
                <w:b/>
                <w:bCs/>
                <w:color w:val="C9A84C"/>
                <w:sz w:val="44"/>
                <w:szCs w:val="44"/>
              </w:rPr>
              <w:t>$1.381,4</w:t>
            </w:r>
          </w:p>
          <w:p w14:paraId="365F0CD1" w14:textId="77777777" w:rsidR="003756E4" w:rsidRDefault="00000000">
            <w:pPr>
              <w:jc w:val="center"/>
            </w:pPr>
            <w:r>
              <w:rPr>
                <w:color w:val="94A3B8"/>
                <w:sz w:val="18"/>
                <w:szCs w:val="18"/>
              </w:rPr>
              <w:t>promedio abril</w:t>
            </w:r>
          </w:p>
          <w:p w14:paraId="777B88D0" w14:textId="77777777" w:rsidR="003756E4" w:rsidRDefault="00000000">
            <w:pPr>
              <w:spacing w:after="40"/>
              <w:jc w:val="center"/>
            </w:pPr>
            <w:r>
              <w:rPr>
                <w:b/>
                <w:bCs/>
                <w:color w:val="FFFFFF"/>
                <w:sz w:val="19"/>
                <w:szCs w:val="19"/>
              </w:rPr>
              <w:t>TC Oficial Prom.</w:t>
            </w:r>
          </w:p>
        </w:tc>
      </w:tr>
    </w:tbl>
    <w:p w14:paraId="0023A43D" w14:textId="77777777" w:rsidR="003756E4" w:rsidRDefault="003756E4"/>
    <w:p w14:paraId="53DD9E1A" w14:textId="490B456B" w:rsidR="000A2D88" w:rsidRDefault="000A2D88">
      <w:pPr>
        <w:spacing w:before="60" w:after="60" w:line="276" w:lineRule="auto"/>
        <w:jc w:val="both"/>
      </w:pPr>
      <w:r>
        <w:t>Para el trimestre mayo-julio de 2026, el escenario base contempla una inflación mensual en torno al 2,0%-2,4%, un tipo de cambio mayorista estable dentro de la banda de flotación y exportaciones sostenidas por encima de USD 8.000 millones mensuales, impulsadas por la cosecha gruesa y el aporte del sector energético. En ausencia de shocks adicionales, se estima que la actividad mantendrá una recuperación gradual, aunque con riesgos asociados a la dinámica de precios relativos</w:t>
      </w:r>
      <w:r w:rsidR="004F7416">
        <w:t>.</w:t>
      </w:r>
    </w:p>
    <w:p w14:paraId="7719C8E1" w14:textId="77777777" w:rsidR="003756E4" w:rsidRDefault="003756E4">
      <w:pPr>
        <w:pBdr>
          <w:bottom w:val="single" w:sz="8" w:space="1" w:color="C9A84C"/>
        </w:pBdr>
        <w:spacing w:before="80" w:after="80"/>
      </w:pPr>
    </w:p>
    <w:p w14:paraId="333C4C9C" w14:textId="77777777" w:rsidR="003756E4" w:rsidRDefault="00000000">
      <w:r>
        <w:br w:type="page"/>
      </w:r>
    </w:p>
    <w:p w14:paraId="2B53D3AA" w14:textId="77777777" w:rsidR="003756E4" w:rsidRDefault="00000000">
      <w:pPr>
        <w:pStyle w:val="Ttulo1"/>
        <w:pBdr>
          <w:bottom w:val="single" w:sz="6" w:space="4" w:color="C9A84C"/>
        </w:pBdr>
        <w:spacing w:after="100"/>
      </w:pPr>
      <w:r>
        <w:lastRenderedPageBreak/>
        <w:t>1. Actividad Económica</w:t>
      </w:r>
    </w:p>
    <w:p w14:paraId="31C69BDE" w14:textId="77777777" w:rsidR="004F7416" w:rsidRDefault="004F7416">
      <w:pPr>
        <w:spacing w:before="60" w:after="60" w:line="276" w:lineRule="auto"/>
        <w:jc w:val="both"/>
      </w:pPr>
      <w:r>
        <w:t>La actividad económica mostró en marzo una señal de recuperación más clara que en los meses previos, con mejoras tanto en la comparación mensual desestacionalizada como en la variación interanual. El dato sugiere que, luego de un inicio de año todavía heterogéneo, la economía comenzó a apoyarse con mayor fuerza en sectores vinculados al agro, la energía y la industria. Aun así, la recuperación no luce plenamente homogénea, ya que algunos componentes más ligados al consumo interno y al gasto público todavía exhiben una dinámica más irregular.</w:t>
      </w:r>
    </w:p>
    <w:p w14:paraId="49EBF62D" w14:textId="77777777" w:rsidR="003756E4" w:rsidRDefault="00000000">
      <w:pPr>
        <w:pStyle w:val="Ttulo2"/>
      </w:pPr>
      <w:r>
        <w:t>EMAE — Marzo 2026 (último dato disponible)</w:t>
      </w:r>
    </w:p>
    <w:p w14:paraId="7C4FF8E1" w14:textId="77777777" w:rsidR="003756E4" w:rsidRDefault="00000000">
      <w:pPr>
        <w:spacing w:before="60" w:after="60"/>
      </w:pPr>
      <w:r>
        <w:rPr>
          <w:b/>
          <w:bCs/>
          <w:color w:val="0A0E17"/>
        </w:rPr>
        <w:t xml:space="preserve">Variación mensual desestacionalizada: </w:t>
      </w:r>
      <w:r>
        <w:t>+3,5% — revirtió la caída de 2,1% de febrero.</w:t>
      </w:r>
    </w:p>
    <w:p w14:paraId="230BDC75" w14:textId="77777777" w:rsidR="003756E4" w:rsidRDefault="00000000">
      <w:pPr>
        <w:spacing w:before="60" w:after="60"/>
      </w:pPr>
      <w:r>
        <w:rPr>
          <w:b/>
          <w:bCs/>
          <w:color w:val="0A0E17"/>
        </w:rPr>
        <w:t xml:space="preserve">Variación interanual: </w:t>
      </w:r>
      <w:r>
        <w:t>+5,5% (mayor ritmo del año).</w:t>
      </w:r>
    </w:p>
    <w:p w14:paraId="19152CC7" w14:textId="77777777" w:rsidR="003756E4" w:rsidRDefault="00000000">
      <w:pPr>
        <w:spacing w:before="60" w:after="60"/>
      </w:pPr>
      <w:r>
        <w:rPr>
          <w:b/>
          <w:bCs/>
          <w:color w:val="0A0E17"/>
        </w:rPr>
        <w:t xml:space="preserve">Acumulado 1T26: </w:t>
      </w:r>
      <w:r>
        <w:t>+1,7% interanual. Nuevo máximo histórico desestacionalizado.</w:t>
      </w:r>
    </w:p>
    <w:p w14:paraId="5C639194" w14:textId="77777777" w:rsidR="003756E4" w:rsidRDefault="003756E4"/>
    <w:p w14:paraId="72D4B8F3" w14:textId="77777777" w:rsidR="003756E4" w:rsidRDefault="00000000">
      <w:pPr>
        <w:pStyle w:val="Ttulo2"/>
      </w:pPr>
      <w:r>
        <w:t>Sectores con mayor incidencia positiva</w:t>
      </w:r>
    </w:p>
    <w:p w14:paraId="65C8287A" w14:textId="77777777" w:rsidR="003756E4" w:rsidRDefault="00000000">
      <w:pPr>
        <w:pStyle w:val="Prrafodelista"/>
        <w:numPr>
          <w:ilvl w:val="0"/>
          <w:numId w:val="2"/>
        </w:numPr>
        <w:spacing w:before="40" w:after="40"/>
      </w:pPr>
      <w:r>
        <w:t xml:space="preserve">Agricultura, ganadería y silvicultura: +17,9% </w:t>
      </w:r>
      <w:proofErr w:type="spellStart"/>
      <w:r>
        <w:t>i.a</w:t>
      </w:r>
      <w:proofErr w:type="spellEnd"/>
      <w:r>
        <w:t>. (mayor aportante al crecimiento)</w:t>
      </w:r>
    </w:p>
    <w:p w14:paraId="4AC5C73B" w14:textId="77777777" w:rsidR="003756E4" w:rsidRDefault="00000000">
      <w:pPr>
        <w:pStyle w:val="Prrafodelista"/>
        <w:numPr>
          <w:ilvl w:val="0"/>
          <w:numId w:val="2"/>
        </w:numPr>
        <w:spacing w:before="40" w:after="40"/>
      </w:pPr>
      <w:r>
        <w:t xml:space="preserve">Explotación de minas y canteras: +16,3% </w:t>
      </w:r>
      <w:proofErr w:type="spellStart"/>
      <w:r>
        <w:t>i.a</w:t>
      </w:r>
      <w:proofErr w:type="spellEnd"/>
      <w:r>
        <w:t>. (Vaca Muerta)</w:t>
      </w:r>
    </w:p>
    <w:p w14:paraId="20790664" w14:textId="77777777" w:rsidR="003756E4" w:rsidRDefault="00000000">
      <w:pPr>
        <w:pStyle w:val="Prrafodelista"/>
        <w:numPr>
          <w:ilvl w:val="0"/>
          <w:numId w:val="2"/>
        </w:numPr>
        <w:spacing w:before="40" w:after="40"/>
      </w:pPr>
      <w:r>
        <w:t xml:space="preserve">Intermediación financiera: +8,8% </w:t>
      </w:r>
      <w:proofErr w:type="spellStart"/>
      <w:r>
        <w:t>i.a</w:t>
      </w:r>
      <w:proofErr w:type="spellEnd"/>
      <w:r>
        <w:t>.</w:t>
      </w:r>
    </w:p>
    <w:p w14:paraId="5DF6E9A4" w14:textId="77777777" w:rsidR="003756E4" w:rsidRDefault="00000000">
      <w:pPr>
        <w:pStyle w:val="Prrafodelista"/>
        <w:numPr>
          <w:ilvl w:val="0"/>
          <w:numId w:val="2"/>
        </w:numPr>
        <w:spacing w:before="40" w:after="40"/>
      </w:pPr>
      <w:r>
        <w:t xml:space="preserve">Construcción: +7,6% </w:t>
      </w:r>
      <w:proofErr w:type="spellStart"/>
      <w:r>
        <w:t>i.a</w:t>
      </w:r>
      <w:proofErr w:type="spellEnd"/>
      <w:r>
        <w:t>.</w:t>
      </w:r>
    </w:p>
    <w:p w14:paraId="646E2513" w14:textId="77777777" w:rsidR="003756E4" w:rsidRDefault="00000000">
      <w:pPr>
        <w:pStyle w:val="Prrafodelista"/>
        <w:numPr>
          <w:ilvl w:val="0"/>
          <w:numId w:val="2"/>
        </w:numPr>
        <w:spacing w:before="40" w:after="40"/>
      </w:pPr>
      <w:r>
        <w:t xml:space="preserve">Industria manufacturera: +4,6% </w:t>
      </w:r>
      <w:proofErr w:type="spellStart"/>
      <w:r>
        <w:t>i.a</w:t>
      </w:r>
      <w:proofErr w:type="spellEnd"/>
      <w:r>
        <w:t>.</w:t>
      </w:r>
    </w:p>
    <w:p w14:paraId="70912457" w14:textId="77777777" w:rsidR="003756E4" w:rsidRDefault="00000000">
      <w:pPr>
        <w:pStyle w:val="Prrafodelista"/>
        <w:numPr>
          <w:ilvl w:val="0"/>
          <w:numId w:val="2"/>
        </w:numPr>
        <w:spacing w:before="40" w:after="40"/>
      </w:pPr>
      <w:r>
        <w:t xml:space="preserve">Administración pública: -1,2% </w:t>
      </w:r>
      <w:proofErr w:type="spellStart"/>
      <w:r>
        <w:t>i.a</w:t>
      </w:r>
      <w:proofErr w:type="spellEnd"/>
      <w:r>
        <w:t>. (único sector negativo)</w:t>
      </w:r>
    </w:p>
    <w:p w14:paraId="5BF6EED5" w14:textId="77777777" w:rsidR="000A2D88" w:rsidRDefault="000A2D88" w:rsidP="000A2D88">
      <w:pPr>
        <w:spacing w:before="40" w:after="40"/>
      </w:pPr>
    </w:p>
    <w:p w14:paraId="3AF7B0C6" w14:textId="58329EF2" w:rsidR="004F7416" w:rsidRDefault="004F7416">
      <w:pPr>
        <w:spacing w:before="60" w:after="60" w:line="276" w:lineRule="auto"/>
        <w:jc w:val="both"/>
      </w:pPr>
      <w:r>
        <w:t xml:space="preserve">La composición sectorial del crecimiento confirma que el actual rebote tiene un fuerte componente transable y exportador. El agro vuelve a desempeñar un rol central por base de comparación y mejora productiva, mientras que la energía mantiene su aporte a través de Vaca Muerta y de mayores volúmenes de producción. </w:t>
      </w:r>
    </w:p>
    <w:p w14:paraId="0B2C00AA" w14:textId="693C8633" w:rsidR="003756E4" w:rsidRDefault="000A2D88">
      <w:r>
        <w:rPr>
          <w:noProof/>
        </w:rPr>
        <w:drawing>
          <wp:inline distT="0" distB="0" distL="0" distR="0" wp14:anchorId="51F54E29" wp14:editId="1E236489">
            <wp:extent cx="6188710" cy="2279015"/>
            <wp:effectExtent l="0" t="0" r="0" b="0"/>
            <wp:docPr id="8466375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37593" name="Imagen 8466375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88710" cy="2279015"/>
                    </a:xfrm>
                    <a:prstGeom prst="rect">
                      <a:avLst/>
                    </a:prstGeom>
                  </pic:spPr>
                </pic:pic>
              </a:graphicData>
            </a:graphic>
          </wp:inline>
        </w:drawing>
      </w:r>
    </w:p>
    <w:p w14:paraId="64F19FAC" w14:textId="77777777" w:rsidR="003756E4" w:rsidRDefault="003756E4"/>
    <w:p w14:paraId="24877D8D" w14:textId="77777777" w:rsidR="003756E4" w:rsidRDefault="00000000">
      <w:pPr>
        <w:pStyle w:val="Ttulo2"/>
      </w:pPr>
      <w:r>
        <w:t>Proyección — PBI Real</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3800"/>
      </w:tblGrid>
      <w:tr w:rsidR="003756E4" w14:paraId="579C1D8D" w14:textId="77777777">
        <w:tblPrEx>
          <w:tblCellMar>
            <w:top w:w="0" w:type="dxa"/>
            <w:bottom w:w="0" w:type="dxa"/>
          </w:tblCellMar>
        </w:tblPrEx>
        <w:trPr>
          <w:tblHeader/>
        </w:trPr>
        <w:tc>
          <w:tcPr>
            <w:tcW w:w="28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7CE84B8F" w14:textId="77777777" w:rsidR="003756E4" w:rsidRDefault="00000000">
            <w:pPr>
              <w:jc w:val="center"/>
            </w:pPr>
            <w:r>
              <w:rPr>
                <w:b/>
                <w:bCs/>
                <w:color w:val="FFFFFF"/>
                <w:sz w:val="19"/>
                <w:szCs w:val="19"/>
              </w:rPr>
              <w:t>Período</w:t>
            </w:r>
          </w:p>
        </w:tc>
        <w:tc>
          <w:tcPr>
            <w:tcW w:w="26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76A795C5" w14:textId="77777777" w:rsidR="003756E4" w:rsidRDefault="00000000">
            <w:pPr>
              <w:jc w:val="center"/>
            </w:pPr>
            <w:r>
              <w:rPr>
                <w:b/>
                <w:bCs/>
                <w:color w:val="FFFFFF"/>
                <w:sz w:val="19"/>
                <w:szCs w:val="19"/>
              </w:rPr>
              <w:t xml:space="preserve">Var. </w:t>
            </w:r>
            <w:proofErr w:type="spellStart"/>
            <w:r>
              <w:rPr>
                <w:b/>
                <w:bCs/>
                <w:color w:val="FFFFFF"/>
                <w:sz w:val="19"/>
                <w:szCs w:val="19"/>
              </w:rPr>
              <w:t>trim</w:t>
            </w:r>
            <w:proofErr w:type="spellEnd"/>
            <w:r>
              <w:rPr>
                <w:b/>
                <w:bCs/>
                <w:color w:val="FFFFFF"/>
                <w:sz w:val="19"/>
                <w:szCs w:val="19"/>
              </w:rPr>
              <w:t xml:space="preserve">. </w:t>
            </w:r>
            <w:proofErr w:type="spellStart"/>
            <w:r>
              <w:rPr>
                <w:b/>
                <w:bCs/>
                <w:color w:val="FFFFFF"/>
                <w:sz w:val="19"/>
                <w:szCs w:val="19"/>
              </w:rPr>
              <w:t>desest</w:t>
            </w:r>
            <w:proofErr w:type="spellEnd"/>
            <w:r>
              <w:rPr>
                <w:b/>
                <w:bCs/>
                <w:color w:val="FFFFFF"/>
                <w:sz w:val="19"/>
                <w:szCs w:val="19"/>
              </w:rPr>
              <w:t>. estimada</w:t>
            </w:r>
          </w:p>
        </w:tc>
        <w:tc>
          <w:tcPr>
            <w:tcW w:w="38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1629AB44" w14:textId="77777777" w:rsidR="003756E4" w:rsidRDefault="00000000">
            <w:pPr>
              <w:jc w:val="center"/>
            </w:pPr>
            <w:r>
              <w:rPr>
                <w:b/>
                <w:bCs/>
                <w:color w:val="FFFFFF"/>
                <w:sz w:val="19"/>
                <w:szCs w:val="19"/>
              </w:rPr>
              <w:t>Supuesto clave</w:t>
            </w:r>
          </w:p>
        </w:tc>
      </w:tr>
      <w:tr w:rsidR="003756E4" w14:paraId="55E28B23"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1B269FDD" w14:textId="77777777" w:rsidR="003756E4" w:rsidRDefault="00000000">
            <w:r>
              <w:rPr>
                <w:sz w:val="19"/>
                <w:szCs w:val="19"/>
              </w:rPr>
              <w:t>Q2 2026</w:t>
            </w:r>
          </w:p>
        </w:tc>
        <w:tc>
          <w:tcPr>
            <w:tcW w:w="26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33CF9B81" w14:textId="77777777" w:rsidR="003756E4" w:rsidRDefault="00000000">
            <w:pPr>
              <w:jc w:val="center"/>
            </w:pPr>
            <w:r>
              <w:rPr>
                <w:sz w:val="19"/>
                <w:szCs w:val="19"/>
              </w:rPr>
              <w:t>+1,0% a +1,5%</w:t>
            </w:r>
          </w:p>
        </w:tc>
        <w:tc>
          <w:tcPr>
            <w:tcW w:w="38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3E8D82DF" w14:textId="77777777" w:rsidR="003756E4" w:rsidRDefault="00000000">
            <w:pPr>
              <w:jc w:val="center"/>
            </w:pPr>
            <w:r>
              <w:rPr>
                <w:sz w:val="19"/>
                <w:szCs w:val="19"/>
              </w:rPr>
              <w:t>Consumo con recuperación gradual</w:t>
            </w:r>
          </w:p>
        </w:tc>
      </w:tr>
      <w:tr w:rsidR="003756E4" w14:paraId="56946D0F"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6F00ADA8" w14:textId="77777777" w:rsidR="003756E4" w:rsidRDefault="00000000">
            <w:r>
              <w:rPr>
                <w:sz w:val="19"/>
                <w:szCs w:val="19"/>
              </w:rPr>
              <w:t>Q3 2026</w:t>
            </w:r>
          </w:p>
        </w:tc>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0812EE1C" w14:textId="77777777" w:rsidR="003756E4" w:rsidRDefault="00000000">
            <w:pPr>
              <w:jc w:val="center"/>
            </w:pPr>
            <w:r>
              <w:rPr>
                <w:sz w:val="19"/>
                <w:szCs w:val="19"/>
              </w:rPr>
              <w:t>+0,8% a +1,2%</w:t>
            </w:r>
          </w:p>
        </w:tc>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5945672F" w14:textId="77777777" w:rsidR="003756E4" w:rsidRDefault="00000000">
            <w:pPr>
              <w:jc w:val="center"/>
            </w:pPr>
            <w:r>
              <w:rPr>
                <w:sz w:val="19"/>
                <w:szCs w:val="19"/>
              </w:rPr>
              <w:t>Estacionalidad energética favorable</w:t>
            </w:r>
          </w:p>
        </w:tc>
      </w:tr>
      <w:tr w:rsidR="003756E4" w14:paraId="7037F546"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1728C360" w14:textId="77777777" w:rsidR="003756E4" w:rsidRDefault="00000000">
            <w:r>
              <w:rPr>
                <w:sz w:val="19"/>
                <w:szCs w:val="19"/>
              </w:rPr>
              <w:t>Q4 2026</w:t>
            </w:r>
          </w:p>
        </w:tc>
        <w:tc>
          <w:tcPr>
            <w:tcW w:w="26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11DBF512" w14:textId="77777777" w:rsidR="003756E4" w:rsidRDefault="00000000">
            <w:pPr>
              <w:jc w:val="center"/>
            </w:pPr>
            <w:r>
              <w:rPr>
                <w:sz w:val="19"/>
                <w:szCs w:val="19"/>
              </w:rPr>
              <w:t>+0,5% a +1,0%</w:t>
            </w:r>
          </w:p>
        </w:tc>
        <w:tc>
          <w:tcPr>
            <w:tcW w:w="38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3E557A0C" w14:textId="77777777" w:rsidR="003756E4" w:rsidRDefault="00000000">
            <w:pPr>
              <w:jc w:val="center"/>
            </w:pPr>
            <w:r>
              <w:rPr>
                <w:sz w:val="19"/>
                <w:szCs w:val="19"/>
              </w:rPr>
              <w:t>Sujeto a política monetaria y TC</w:t>
            </w:r>
          </w:p>
        </w:tc>
      </w:tr>
      <w:tr w:rsidR="003756E4" w14:paraId="16880FD6"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2DC9733F" w14:textId="77777777" w:rsidR="003756E4" w:rsidRDefault="00000000">
            <w:r>
              <w:rPr>
                <w:sz w:val="19"/>
                <w:szCs w:val="19"/>
              </w:rPr>
              <w:lastRenderedPageBreak/>
              <w:t>Promedio 2026</w:t>
            </w:r>
          </w:p>
        </w:tc>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2456F242" w14:textId="77777777" w:rsidR="003756E4" w:rsidRDefault="00000000">
            <w:pPr>
              <w:jc w:val="center"/>
            </w:pPr>
            <w:r>
              <w:rPr>
                <w:sz w:val="19"/>
                <w:szCs w:val="19"/>
              </w:rPr>
              <w:t>+4,5% a +5,0%</w:t>
            </w:r>
          </w:p>
        </w:tc>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3698948F" w14:textId="77777777" w:rsidR="003756E4" w:rsidRDefault="00000000">
            <w:pPr>
              <w:jc w:val="center"/>
            </w:pPr>
            <w:r>
              <w:rPr>
                <w:sz w:val="19"/>
                <w:szCs w:val="19"/>
              </w:rPr>
              <w:t>Escenario base sin shocks externos</w:t>
            </w:r>
          </w:p>
        </w:tc>
      </w:tr>
    </w:tbl>
    <w:p w14:paraId="7CD44F11" w14:textId="77777777" w:rsidR="003756E4" w:rsidRDefault="003756E4"/>
    <w:p w14:paraId="368DF135" w14:textId="5051FE7C" w:rsidR="004F7416" w:rsidRDefault="004F7416">
      <w:pPr>
        <w:spacing w:before="60" w:after="60" w:line="276" w:lineRule="auto"/>
        <w:jc w:val="both"/>
      </w:pPr>
      <w:r>
        <w:t xml:space="preserve">Las proyecciones para los próximos trimestres contemplan una continuidad del rebote, aunque con una moderación gradual del ritmo de expansión. El escenario base asume que el agro y la energía seguirán aportando positivamente, el consumo privado comenzaría a mostrar una fuerte recuperación a lo largo del año. Si la desinflación logra sostenerse y mejora el poder adquisitivo real, la actividad podría consolidar una trayectoria de crecimiento más potente. </w:t>
      </w:r>
    </w:p>
    <w:p w14:paraId="77EA4691" w14:textId="77777777" w:rsidR="003756E4" w:rsidRDefault="00000000">
      <w:pPr>
        <w:spacing w:before="60" w:after="60" w:line="276" w:lineRule="auto"/>
        <w:jc w:val="both"/>
      </w:pPr>
      <w:r>
        <w:rPr>
          <w:i/>
          <w:iCs/>
          <w:color w:val="6B7280"/>
        </w:rPr>
        <w:t>Nota: el EMAE preliminar de abril 2026 se publicará el 23 de junio según calendario INDEC.</w:t>
      </w:r>
    </w:p>
    <w:p w14:paraId="71A23191" w14:textId="77777777" w:rsidR="003756E4" w:rsidRDefault="003756E4">
      <w:pPr>
        <w:pBdr>
          <w:bottom w:val="single" w:sz="8" w:space="1" w:color="0D9488"/>
        </w:pBdr>
        <w:spacing w:before="80" w:after="80"/>
      </w:pPr>
    </w:p>
    <w:p w14:paraId="7654827B" w14:textId="77777777" w:rsidR="003756E4" w:rsidRDefault="00000000">
      <w:r>
        <w:br w:type="page"/>
      </w:r>
    </w:p>
    <w:p w14:paraId="231E9DCC" w14:textId="77777777" w:rsidR="003756E4" w:rsidRDefault="00000000">
      <w:pPr>
        <w:pStyle w:val="Ttulo1"/>
        <w:pBdr>
          <w:bottom w:val="single" w:sz="6" w:space="4" w:color="C9A84C"/>
        </w:pBdr>
        <w:spacing w:after="100"/>
      </w:pPr>
      <w:r>
        <w:lastRenderedPageBreak/>
        <w:t>2. Precios — Inflación</w:t>
      </w:r>
    </w:p>
    <w:p w14:paraId="4252A50D" w14:textId="5E028061" w:rsidR="004F7416" w:rsidRDefault="004F7416">
      <w:pPr>
        <w:spacing w:before="60" w:after="60" w:line="276" w:lineRule="auto"/>
        <w:jc w:val="both"/>
      </w:pPr>
      <w:r>
        <w:t>La inflación de abril confirmó una nueva desaceleración del nivel general, en línea con la tendencia observada durante el primer cuatrimestre. El dato resulta especialmente relevante porque combina una baja de los componentes estacionales con una moderación adicional del IPC núcleo, lo que sugiere una nominalidad de corto plazo algo más contenida. Sin embargo, la persistencia de aumentos en regulados</w:t>
      </w:r>
      <w:r w:rsidR="00A747CE">
        <w:t xml:space="preserve"> que cada vez son menos , </w:t>
      </w:r>
      <w:r>
        <w:t xml:space="preserve">muestran que el proceso de desinflación </w:t>
      </w:r>
      <w:r w:rsidR="00A747CE">
        <w:t>va en camino a la consolidación.</w:t>
      </w:r>
    </w:p>
    <w:p w14:paraId="6898715A" w14:textId="77777777" w:rsidR="003756E4" w:rsidRDefault="00000000">
      <w:pPr>
        <w:pStyle w:val="Ttulo2"/>
      </w:pPr>
      <w:r>
        <w:t>IPC Abril 2026 — INDEC (publicado 14/05/2026)</w:t>
      </w:r>
    </w:p>
    <w:p w14:paraId="3B416628" w14:textId="77777777" w:rsidR="003756E4" w:rsidRDefault="00000000">
      <w:pPr>
        <w:spacing w:before="60" w:after="60"/>
      </w:pPr>
      <w:r>
        <w:rPr>
          <w:b/>
          <w:bCs/>
          <w:color w:val="0A0E17"/>
        </w:rPr>
        <w:t xml:space="preserve">IPC Nivel General: </w:t>
      </w:r>
      <w:r>
        <w:t>2,6% mensual | 32,4% interanual | Acumulado 2026: 12,3%</w:t>
      </w:r>
    </w:p>
    <w:p w14:paraId="56F8EBEA" w14:textId="77777777" w:rsidR="003756E4" w:rsidRDefault="00000000">
      <w:pPr>
        <w:spacing w:before="60" w:after="60"/>
      </w:pPr>
      <w:r>
        <w:rPr>
          <w:b/>
          <w:bCs/>
          <w:color w:val="0A0E17"/>
        </w:rPr>
        <w:t xml:space="preserve">IPC Núcleo: </w:t>
      </w:r>
      <w:r>
        <w:t xml:space="preserve">2,3% mensual (32,4% </w:t>
      </w:r>
      <w:proofErr w:type="spellStart"/>
      <w:r>
        <w:t>i.a</w:t>
      </w:r>
      <w:proofErr w:type="spellEnd"/>
      <w:r>
        <w:t>.) — mínimo desde octubre 2025</w:t>
      </w:r>
    </w:p>
    <w:p w14:paraId="267F529E" w14:textId="77777777" w:rsidR="003756E4" w:rsidRDefault="00000000">
      <w:pPr>
        <w:spacing w:before="60" w:after="60"/>
      </w:pPr>
      <w:r>
        <w:rPr>
          <w:b/>
          <w:bCs/>
          <w:color w:val="0A0E17"/>
        </w:rPr>
        <w:t xml:space="preserve">Regulados: </w:t>
      </w:r>
      <w:r>
        <w:t xml:space="preserve">4,7% mensual (43,0% </w:t>
      </w:r>
      <w:proofErr w:type="spellStart"/>
      <w:r>
        <w:t>i.a</w:t>
      </w:r>
      <w:proofErr w:type="spellEnd"/>
      <w:r>
        <w:t>.) — principal driver del mes</w:t>
      </w:r>
    </w:p>
    <w:p w14:paraId="7D912C5F" w14:textId="77777777" w:rsidR="003756E4" w:rsidRDefault="00000000">
      <w:pPr>
        <w:spacing w:before="60" w:after="60"/>
      </w:pPr>
      <w:r>
        <w:rPr>
          <w:b/>
          <w:bCs/>
          <w:color w:val="0A0E17"/>
        </w:rPr>
        <w:t xml:space="preserve">Estacionales: </w:t>
      </w:r>
      <w:r>
        <w:t xml:space="preserve">0,0% mensual (12,1% </w:t>
      </w:r>
      <w:proofErr w:type="spellStart"/>
      <w:r>
        <w:t>i.a</w:t>
      </w:r>
      <w:proofErr w:type="spellEnd"/>
      <w:r>
        <w:t>.)</w:t>
      </w:r>
    </w:p>
    <w:p w14:paraId="45602276" w14:textId="77777777" w:rsidR="003756E4" w:rsidRDefault="00000000">
      <w:pPr>
        <w:spacing w:before="60" w:after="60"/>
      </w:pPr>
      <w:r>
        <w:rPr>
          <w:b/>
          <w:bCs/>
          <w:color w:val="0A0E17"/>
        </w:rPr>
        <w:t xml:space="preserve">IPIM (Mayorista): </w:t>
      </w:r>
      <w:r>
        <w:t>5,2% mensual — duplicó al IPC minorista</w:t>
      </w:r>
    </w:p>
    <w:p w14:paraId="1416DCB7" w14:textId="77777777" w:rsidR="003756E4" w:rsidRDefault="003756E4"/>
    <w:p w14:paraId="4C1E15C5" w14:textId="77777777" w:rsidR="003756E4" w:rsidRDefault="00000000">
      <w:pPr>
        <w:pStyle w:val="Ttulo2"/>
      </w:pPr>
      <w:r>
        <w:t>Divisiones con mayor incidencia</w:t>
      </w:r>
    </w:p>
    <w:p w14:paraId="393616BC" w14:textId="77777777" w:rsidR="003756E4" w:rsidRDefault="00000000">
      <w:pPr>
        <w:pStyle w:val="Prrafodelista"/>
        <w:numPr>
          <w:ilvl w:val="0"/>
          <w:numId w:val="2"/>
        </w:numPr>
        <w:spacing w:before="40" w:after="40"/>
      </w:pPr>
      <w:r>
        <w:t>Transporte: +4,4% (combustibles y transporte público AMBA)</w:t>
      </w:r>
    </w:p>
    <w:p w14:paraId="6B1300E9" w14:textId="77777777" w:rsidR="003756E4" w:rsidRDefault="00000000">
      <w:pPr>
        <w:pStyle w:val="Prrafodelista"/>
        <w:numPr>
          <w:ilvl w:val="0"/>
          <w:numId w:val="2"/>
        </w:numPr>
        <w:spacing w:before="40" w:after="40"/>
      </w:pPr>
      <w:r>
        <w:t>Educación: +4,2%</w:t>
      </w:r>
    </w:p>
    <w:p w14:paraId="5316E9F2" w14:textId="77777777" w:rsidR="003756E4" w:rsidRDefault="00000000">
      <w:pPr>
        <w:pStyle w:val="Prrafodelista"/>
        <w:numPr>
          <w:ilvl w:val="0"/>
          <w:numId w:val="2"/>
        </w:numPr>
        <w:spacing w:before="40" w:after="40"/>
      </w:pPr>
      <w:r>
        <w:t>Comunicación: +4,1%</w:t>
      </w:r>
    </w:p>
    <w:p w14:paraId="3119DA22" w14:textId="77777777" w:rsidR="003756E4" w:rsidRDefault="00000000">
      <w:pPr>
        <w:pStyle w:val="Prrafodelista"/>
        <w:numPr>
          <w:ilvl w:val="0"/>
          <w:numId w:val="2"/>
        </w:numPr>
        <w:spacing w:before="40" w:after="40"/>
      </w:pPr>
      <w:r>
        <w:t>Vivienda, agua, electricidad y gas: +3,5%</w:t>
      </w:r>
    </w:p>
    <w:p w14:paraId="47D20F6F" w14:textId="77777777" w:rsidR="003756E4" w:rsidRDefault="00000000">
      <w:pPr>
        <w:pStyle w:val="Prrafodelista"/>
        <w:numPr>
          <w:ilvl w:val="0"/>
          <w:numId w:val="2"/>
        </w:numPr>
        <w:spacing w:before="40" w:after="40"/>
      </w:pPr>
      <w:r>
        <w:t>Alimentos y bebidas: +1,5% (tomate -16,5%, limón -15,1%)</w:t>
      </w:r>
    </w:p>
    <w:p w14:paraId="74FF1AE3" w14:textId="77777777" w:rsidR="000A2D88" w:rsidRDefault="000A2D88" w:rsidP="000A2D88">
      <w:pPr>
        <w:pStyle w:val="Prrafodelista"/>
        <w:spacing w:before="40" w:after="40"/>
        <w:ind w:left="600"/>
      </w:pPr>
    </w:p>
    <w:p w14:paraId="2CF89E83" w14:textId="77777777" w:rsidR="004F7416" w:rsidRDefault="004F7416">
      <w:pPr>
        <w:spacing w:before="60" w:after="60" w:line="276" w:lineRule="auto"/>
        <w:jc w:val="both"/>
      </w:pPr>
      <w:r>
        <w:t>La dinámica de abril mostró un patrón mixto. Por un lado, alimentos y bebidas volvieron a exhibir registros relativamente bajos, ayudados por bajas en productos frescos y menor presión estacional. Por otro, divisiones como transporte, educación, comunicación y vivienda siguieron reflejando correcciones de precios regulados o semiflexibles. Esta composición sugiere que la desaceleración reciente no responde exclusivamente a una baja generalizada de la inflación, sino también a una combinación puntual de menor presión estacional y calendario de ajustes administrados.</w:t>
      </w:r>
    </w:p>
    <w:p w14:paraId="60A7014B" w14:textId="105D020E" w:rsidR="003756E4" w:rsidRDefault="000A2D88">
      <w:r>
        <w:rPr>
          <w:noProof/>
        </w:rPr>
        <w:lastRenderedPageBreak/>
        <w:drawing>
          <wp:inline distT="0" distB="0" distL="0" distR="0" wp14:anchorId="5B249EFD" wp14:editId="30E1F5CE">
            <wp:extent cx="6106886" cy="3961393"/>
            <wp:effectExtent l="0" t="0" r="1905" b="1270"/>
            <wp:docPr id="11403226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22646" name="Imagen 1140322646"/>
                    <pic:cNvPicPr/>
                  </pic:nvPicPr>
                  <pic:blipFill>
                    <a:blip r:embed="rId8">
                      <a:extLst>
                        <a:ext uri="{28A0092B-C50C-407E-A947-70E740481C1C}">
                          <a14:useLocalDpi xmlns:a14="http://schemas.microsoft.com/office/drawing/2010/main" val="0"/>
                        </a:ext>
                      </a:extLst>
                    </a:blip>
                    <a:stretch>
                      <a:fillRect/>
                    </a:stretch>
                  </pic:blipFill>
                  <pic:spPr>
                    <a:xfrm>
                      <a:off x="0" y="0"/>
                      <a:ext cx="6115065" cy="3966698"/>
                    </a:xfrm>
                    <a:prstGeom prst="rect">
                      <a:avLst/>
                    </a:prstGeom>
                  </pic:spPr>
                </pic:pic>
              </a:graphicData>
            </a:graphic>
          </wp:inline>
        </w:drawing>
      </w:r>
    </w:p>
    <w:p w14:paraId="01E990A3" w14:textId="656DB936" w:rsidR="003756E4" w:rsidRDefault="003756E4">
      <w:pPr>
        <w:spacing w:before="80" w:after="80"/>
        <w:rPr>
          <w:i/>
          <w:iCs/>
          <w:color w:val="94A3B8"/>
          <w:sz w:val="20"/>
          <w:szCs w:val="20"/>
        </w:rPr>
      </w:pPr>
    </w:p>
    <w:p w14:paraId="3E992A5C" w14:textId="77777777" w:rsidR="000A2D88" w:rsidRDefault="000A2D88">
      <w:pPr>
        <w:spacing w:before="80" w:after="80"/>
        <w:rPr>
          <w:i/>
          <w:iCs/>
          <w:color w:val="94A3B8"/>
          <w:sz w:val="20"/>
          <w:szCs w:val="20"/>
        </w:rPr>
      </w:pPr>
    </w:p>
    <w:p w14:paraId="762924CE" w14:textId="77777777" w:rsidR="000A2D88" w:rsidRDefault="000A2D88">
      <w:pPr>
        <w:spacing w:before="80" w:after="80"/>
        <w:rPr>
          <w:i/>
          <w:iCs/>
          <w:color w:val="94A3B8"/>
          <w:sz w:val="20"/>
          <w:szCs w:val="20"/>
        </w:rPr>
      </w:pPr>
    </w:p>
    <w:p w14:paraId="10497BD2" w14:textId="77777777" w:rsidR="000A2D88" w:rsidRDefault="000A2D88">
      <w:pPr>
        <w:spacing w:before="80" w:after="80"/>
        <w:rPr>
          <w:i/>
          <w:iCs/>
          <w:color w:val="94A3B8"/>
          <w:sz w:val="20"/>
          <w:szCs w:val="20"/>
        </w:rPr>
      </w:pPr>
    </w:p>
    <w:p w14:paraId="571862E0" w14:textId="77777777" w:rsidR="000A2D88" w:rsidRDefault="000A2D88">
      <w:pPr>
        <w:spacing w:before="80" w:after="80"/>
        <w:rPr>
          <w:i/>
          <w:iCs/>
          <w:color w:val="94A3B8"/>
          <w:sz w:val="20"/>
          <w:szCs w:val="20"/>
        </w:rPr>
      </w:pPr>
    </w:p>
    <w:p w14:paraId="0DDC214D" w14:textId="77777777" w:rsidR="000A2D88" w:rsidRDefault="000A2D88">
      <w:pPr>
        <w:spacing w:before="80" w:after="80"/>
        <w:rPr>
          <w:i/>
          <w:iCs/>
          <w:color w:val="94A3B8"/>
          <w:sz w:val="20"/>
          <w:szCs w:val="20"/>
        </w:rPr>
      </w:pPr>
    </w:p>
    <w:p w14:paraId="5F06B3C5" w14:textId="77777777" w:rsidR="000A2D88" w:rsidRDefault="000A2D88">
      <w:pPr>
        <w:spacing w:before="80" w:after="80"/>
        <w:rPr>
          <w:i/>
          <w:iCs/>
          <w:color w:val="94A3B8"/>
          <w:sz w:val="20"/>
          <w:szCs w:val="20"/>
        </w:rPr>
      </w:pPr>
    </w:p>
    <w:p w14:paraId="5F47612B" w14:textId="77777777" w:rsidR="000A2D88" w:rsidRDefault="000A2D88">
      <w:pPr>
        <w:spacing w:before="80" w:after="80"/>
        <w:rPr>
          <w:i/>
          <w:iCs/>
          <w:color w:val="94A3B8"/>
          <w:sz w:val="20"/>
          <w:szCs w:val="20"/>
        </w:rPr>
      </w:pPr>
    </w:p>
    <w:p w14:paraId="31520CDD" w14:textId="77777777" w:rsidR="000A2D88" w:rsidRDefault="000A2D88">
      <w:pPr>
        <w:spacing w:before="80" w:after="80"/>
      </w:pPr>
    </w:p>
    <w:p w14:paraId="785E7063" w14:textId="77777777" w:rsidR="003756E4" w:rsidRDefault="003756E4"/>
    <w:p w14:paraId="5A0A887E" w14:textId="77777777" w:rsidR="003756E4" w:rsidRDefault="00000000">
      <w:pPr>
        <w:pStyle w:val="Ttulo2"/>
      </w:pPr>
      <w:r>
        <w:t>Proyección — IPC Mensual (Escenario Base)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2000"/>
        <w:gridCol w:w="3200"/>
      </w:tblGrid>
      <w:tr w:rsidR="003756E4" w14:paraId="4DC0F6B7" w14:textId="77777777">
        <w:tblPrEx>
          <w:tblCellMar>
            <w:top w:w="0" w:type="dxa"/>
            <w:bottom w:w="0" w:type="dxa"/>
          </w:tblCellMar>
        </w:tblPrEx>
        <w:trPr>
          <w:tblHeader/>
        </w:trPr>
        <w:tc>
          <w:tcPr>
            <w:tcW w:w="20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6123245C" w14:textId="77777777" w:rsidR="003756E4" w:rsidRDefault="00000000">
            <w:pPr>
              <w:jc w:val="center"/>
            </w:pPr>
            <w:r>
              <w:rPr>
                <w:b/>
                <w:bCs/>
                <w:color w:val="FFFFFF"/>
                <w:sz w:val="19"/>
                <w:szCs w:val="19"/>
              </w:rPr>
              <w:t>Mes</w:t>
            </w:r>
          </w:p>
        </w:tc>
        <w:tc>
          <w:tcPr>
            <w:tcW w:w="20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1C36CE6B" w14:textId="77777777" w:rsidR="003756E4" w:rsidRDefault="00000000">
            <w:pPr>
              <w:jc w:val="center"/>
            </w:pPr>
            <w:r>
              <w:rPr>
                <w:b/>
                <w:bCs/>
                <w:color w:val="FFFFFF"/>
                <w:sz w:val="19"/>
                <w:szCs w:val="19"/>
              </w:rPr>
              <w:t>IPC General</w:t>
            </w:r>
          </w:p>
        </w:tc>
        <w:tc>
          <w:tcPr>
            <w:tcW w:w="20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7D998F0C" w14:textId="77777777" w:rsidR="003756E4" w:rsidRDefault="00000000">
            <w:pPr>
              <w:jc w:val="center"/>
            </w:pPr>
            <w:r>
              <w:rPr>
                <w:b/>
                <w:bCs/>
                <w:color w:val="FFFFFF"/>
                <w:sz w:val="19"/>
                <w:szCs w:val="19"/>
              </w:rPr>
              <w:t>IPC Núcleo</w:t>
            </w:r>
          </w:p>
        </w:tc>
        <w:tc>
          <w:tcPr>
            <w:tcW w:w="32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0711B7B3" w14:textId="77777777" w:rsidR="003756E4" w:rsidRDefault="00000000">
            <w:pPr>
              <w:jc w:val="center"/>
            </w:pPr>
            <w:r>
              <w:rPr>
                <w:b/>
                <w:bCs/>
                <w:color w:val="FFFFFF"/>
                <w:sz w:val="19"/>
                <w:szCs w:val="19"/>
              </w:rPr>
              <w:t>Factor determinante</w:t>
            </w:r>
          </w:p>
        </w:tc>
      </w:tr>
      <w:tr w:rsidR="003756E4" w14:paraId="1196BCAB"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7EC59628" w14:textId="77777777" w:rsidR="003756E4" w:rsidRDefault="00000000">
            <w:r>
              <w:rPr>
                <w:sz w:val="19"/>
                <w:szCs w:val="19"/>
              </w:rPr>
              <w:t>Mayo 2026</w:t>
            </w:r>
          </w:p>
        </w:tc>
        <w:tc>
          <w:tcPr>
            <w:tcW w:w="20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7D1E67E6" w14:textId="77777777" w:rsidR="003756E4" w:rsidRDefault="00000000">
            <w:pPr>
              <w:jc w:val="center"/>
            </w:pPr>
            <w:r>
              <w:rPr>
                <w:sz w:val="19"/>
                <w:szCs w:val="19"/>
              </w:rPr>
              <w:t>2,0% - 2,4%</w:t>
            </w:r>
          </w:p>
        </w:tc>
        <w:tc>
          <w:tcPr>
            <w:tcW w:w="20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1284EE00" w14:textId="77777777" w:rsidR="003756E4" w:rsidRDefault="00000000">
            <w:pPr>
              <w:jc w:val="center"/>
            </w:pPr>
            <w:r>
              <w:rPr>
                <w:sz w:val="19"/>
                <w:szCs w:val="19"/>
              </w:rPr>
              <w:t>1,9% - 2,2%</w:t>
            </w:r>
          </w:p>
        </w:tc>
        <w:tc>
          <w:tcPr>
            <w:tcW w:w="32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10AB2AD4" w14:textId="77777777" w:rsidR="003756E4" w:rsidRDefault="00000000">
            <w:pPr>
              <w:jc w:val="center"/>
            </w:pPr>
            <w:r>
              <w:rPr>
                <w:sz w:val="19"/>
                <w:szCs w:val="19"/>
              </w:rPr>
              <w:t>Moderación tarifaria; costos estables</w:t>
            </w:r>
          </w:p>
        </w:tc>
      </w:tr>
      <w:tr w:rsidR="003756E4" w14:paraId="4A14B7F1"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5ED0A1B1" w14:textId="77777777" w:rsidR="003756E4" w:rsidRDefault="00000000">
            <w:r>
              <w:rPr>
                <w:sz w:val="19"/>
                <w:szCs w:val="19"/>
              </w:rPr>
              <w:t>Junio 2026</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04D7FEA3" w14:textId="77777777" w:rsidR="003756E4" w:rsidRDefault="00000000">
            <w:pPr>
              <w:jc w:val="center"/>
            </w:pPr>
            <w:r>
              <w:rPr>
                <w:sz w:val="19"/>
                <w:szCs w:val="19"/>
              </w:rPr>
              <w:t>1,9% - 2,3%</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6D5065F0" w14:textId="77777777" w:rsidR="003756E4" w:rsidRDefault="00000000">
            <w:pPr>
              <w:jc w:val="center"/>
            </w:pPr>
            <w:r>
              <w:rPr>
                <w:sz w:val="19"/>
                <w:szCs w:val="19"/>
              </w:rPr>
              <w:t>1,8% - 2,1%</w:t>
            </w:r>
          </w:p>
        </w:tc>
        <w:tc>
          <w:tcPr>
            <w:tcW w:w="32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4063A744" w14:textId="77777777" w:rsidR="003756E4" w:rsidRDefault="00000000">
            <w:pPr>
              <w:jc w:val="center"/>
            </w:pPr>
            <w:r>
              <w:rPr>
                <w:sz w:val="19"/>
                <w:szCs w:val="19"/>
              </w:rPr>
              <w:t>Estacionalidad favorable</w:t>
            </w:r>
          </w:p>
        </w:tc>
      </w:tr>
      <w:tr w:rsidR="003756E4" w14:paraId="641C77B1"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17E16308" w14:textId="77777777" w:rsidR="003756E4" w:rsidRDefault="00000000">
            <w:r>
              <w:rPr>
                <w:sz w:val="19"/>
                <w:szCs w:val="19"/>
              </w:rPr>
              <w:t>Julio 2026</w:t>
            </w:r>
          </w:p>
        </w:tc>
        <w:tc>
          <w:tcPr>
            <w:tcW w:w="20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3CA0F283" w14:textId="77777777" w:rsidR="003756E4" w:rsidRDefault="00000000">
            <w:pPr>
              <w:jc w:val="center"/>
            </w:pPr>
            <w:r>
              <w:rPr>
                <w:sz w:val="19"/>
                <w:szCs w:val="19"/>
              </w:rPr>
              <w:t>2,0% - 2,5%</w:t>
            </w:r>
          </w:p>
        </w:tc>
        <w:tc>
          <w:tcPr>
            <w:tcW w:w="20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058465CF" w14:textId="77777777" w:rsidR="003756E4" w:rsidRDefault="00000000">
            <w:pPr>
              <w:jc w:val="center"/>
            </w:pPr>
            <w:r>
              <w:rPr>
                <w:sz w:val="19"/>
                <w:szCs w:val="19"/>
              </w:rPr>
              <w:t>1,9% - 2,3%</w:t>
            </w:r>
          </w:p>
        </w:tc>
        <w:tc>
          <w:tcPr>
            <w:tcW w:w="32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43425DFC" w14:textId="77777777" w:rsidR="003756E4" w:rsidRDefault="00000000">
            <w:pPr>
              <w:jc w:val="center"/>
            </w:pPr>
            <w:r>
              <w:rPr>
                <w:sz w:val="19"/>
                <w:szCs w:val="19"/>
              </w:rPr>
              <w:t>Posibles aumentos regulados</w:t>
            </w:r>
          </w:p>
        </w:tc>
      </w:tr>
      <w:tr w:rsidR="003756E4" w14:paraId="7567D231"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3328B7C3" w14:textId="77777777" w:rsidR="003756E4" w:rsidRDefault="00000000">
            <w:r>
              <w:rPr>
                <w:sz w:val="19"/>
                <w:szCs w:val="19"/>
              </w:rPr>
              <w:t>Agosto 2026</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3C1E9459" w14:textId="77777777" w:rsidR="003756E4" w:rsidRDefault="00000000">
            <w:pPr>
              <w:jc w:val="center"/>
            </w:pPr>
            <w:r>
              <w:rPr>
                <w:sz w:val="19"/>
                <w:szCs w:val="19"/>
              </w:rPr>
              <w:t>2,1% - 2,6%</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7C2DF25F" w14:textId="77777777" w:rsidR="003756E4" w:rsidRDefault="00000000">
            <w:pPr>
              <w:jc w:val="center"/>
            </w:pPr>
            <w:r>
              <w:rPr>
                <w:sz w:val="19"/>
                <w:szCs w:val="19"/>
              </w:rPr>
              <w:t>2,0% - 2,4%</w:t>
            </w:r>
          </w:p>
        </w:tc>
        <w:tc>
          <w:tcPr>
            <w:tcW w:w="32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09B810C4" w14:textId="77777777" w:rsidR="003756E4" w:rsidRDefault="00000000">
            <w:pPr>
              <w:jc w:val="center"/>
            </w:pPr>
            <w:r>
              <w:rPr>
                <w:sz w:val="19"/>
                <w:szCs w:val="19"/>
              </w:rPr>
              <w:t>Paritarias sector privado</w:t>
            </w:r>
          </w:p>
        </w:tc>
      </w:tr>
      <w:tr w:rsidR="003756E4" w14:paraId="680178E5"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2AF79B56" w14:textId="77777777" w:rsidR="003756E4" w:rsidRDefault="00000000">
            <w:r>
              <w:rPr>
                <w:sz w:val="19"/>
                <w:szCs w:val="19"/>
              </w:rPr>
              <w:t>Sep. 2026</w:t>
            </w:r>
          </w:p>
        </w:tc>
        <w:tc>
          <w:tcPr>
            <w:tcW w:w="20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780EFDB1" w14:textId="77777777" w:rsidR="003756E4" w:rsidRDefault="00000000">
            <w:pPr>
              <w:jc w:val="center"/>
            </w:pPr>
            <w:r>
              <w:rPr>
                <w:sz w:val="19"/>
                <w:szCs w:val="19"/>
              </w:rPr>
              <w:t>2,0% - 2,5%</w:t>
            </w:r>
          </w:p>
        </w:tc>
        <w:tc>
          <w:tcPr>
            <w:tcW w:w="20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72276C21" w14:textId="77777777" w:rsidR="003756E4" w:rsidRDefault="00000000">
            <w:pPr>
              <w:jc w:val="center"/>
            </w:pPr>
            <w:r>
              <w:rPr>
                <w:sz w:val="19"/>
                <w:szCs w:val="19"/>
              </w:rPr>
              <w:t>1,9% - 2,3%</w:t>
            </w:r>
          </w:p>
        </w:tc>
        <w:tc>
          <w:tcPr>
            <w:tcW w:w="32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6D6C1F81" w14:textId="77777777" w:rsidR="003756E4" w:rsidRDefault="00000000">
            <w:pPr>
              <w:jc w:val="center"/>
            </w:pPr>
            <w:r>
              <w:rPr>
                <w:sz w:val="19"/>
                <w:szCs w:val="19"/>
              </w:rPr>
              <w:t>Consolidación desinflación</w:t>
            </w:r>
          </w:p>
        </w:tc>
      </w:tr>
      <w:tr w:rsidR="003756E4" w14:paraId="5F845708"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1B87CBBA" w14:textId="77777777" w:rsidR="003756E4" w:rsidRDefault="00000000">
            <w:r>
              <w:rPr>
                <w:sz w:val="19"/>
                <w:szCs w:val="19"/>
              </w:rPr>
              <w:t>Oct. 2026</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439F4C94" w14:textId="77777777" w:rsidR="003756E4" w:rsidRDefault="00000000">
            <w:pPr>
              <w:jc w:val="center"/>
            </w:pPr>
            <w:r>
              <w:rPr>
                <w:sz w:val="19"/>
                <w:szCs w:val="19"/>
              </w:rPr>
              <w:t>1,9% - 2,3%</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51499179" w14:textId="77777777" w:rsidR="003756E4" w:rsidRDefault="00000000">
            <w:pPr>
              <w:jc w:val="center"/>
            </w:pPr>
            <w:r>
              <w:rPr>
                <w:sz w:val="19"/>
                <w:szCs w:val="19"/>
              </w:rPr>
              <w:t>1,8% - 2,2%</w:t>
            </w:r>
          </w:p>
        </w:tc>
        <w:tc>
          <w:tcPr>
            <w:tcW w:w="32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0E5EA248" w14:textId="77777777" w:rsidR="003756E4" w:rsidRDefault="00000000">
            <w:pPr>
              <w:jc w:val="center"/>
            </w:pPr>
            <w:r>
              <w:rPr>
                <w:sz w:val="19"/>
                <w:szCs w:val="19"/>
              </w:rPr>
              <w:t>Sin shocks externos</w:t>
            </w:r>
          </w:p>
        </w:tc>
      </w:tr>
    </w:tbl>
    <w:p w14:paraId="730BB48E" w14:textId="77777777" w:rsidR="003756E4" w:rsidRDefault="003756E4"/>
    <w:p w14:paraId="46FAC295" w14:textId="38E38C0D" w:rsidR="004F7416" w:rsidRDefault="004F7416">
      <w:pPr>
        <w:spacing w:before="60" w:after="60" w:line="276" w:lineRule="auto"/>
        <w:jc w:val="both"/>
      </w:pPr>
      <w:r>
        <w:t xml:space="preserve">Para los próximos meses se proyecta que la inflación mensual se mantenga en una zona cercana al 2%, con oscilaciones moderadas según el calendario de regulados, la dinámica salarial y la evolución del tipo de cambio. El escenario base contempla una continuidad del proceso de desinflación, </w:t>
      </w:r>
      <w:r>
        <w:lastRenderedPageBreak/>
        <w:t>apoyado en una política monetaria todavía contractiva y en una mayor estabilidad nominal. No obstante, el hecho de que el IPIM haya duplicado al IPC minorista en abril introduce una señal de cautela: parte de esa presión podría trasladarse a precios al consumidor si cambian las condiciones de costos o si se altera la estabilidad cambiaria. En consecuencia, el sesgo de la proyección sigue siendo de desinflación gradual</w:t>
      </w:r>
      <w:r w:rsidR="00A747CE">
        <w:t>.</w:t>
      </w:r>
    </w:p>
    <w:p w14:paraId="231AA5F2" w14:textId="77777777" w:rsidR="003756E4" w:rsidRDefault="00000000">
      <w:pPr>
        <w:spacing w:before="60" w:after="60" w:line="276" w:lineRule="auto"/>
        <w:jc w:val="both"/>
      </w:pPr>
      <w:r>
        <w:rPr>
          <w:color w:val="6B7280"/>
        </w:rPr>
        <w:t>Acumulado proyectado 12 meses (mayo 2026 - abril 2027): 26% - 30%. Riesgo al alza: IPIM mayorista al 5,2% anticipa presión en bienes transables. Canasta IPC desactualizada (base 2004/05) podría subestimar hasta 0,4 p.p. por ponderación de combustibles.</w:t>
      </w:r>
    </w:p>
    <w:p w14:paraId="505D0037" w14:textId="77777777" w:rsidR="003756E4" w:rsidRDefault="003756E4">
      <w:pPr>
        <w:pBdr>
          <w:bottom w:val="single" w:sz="8" w:space="1" w:color="C9A84C"/>
        </w:pBdr>
        <w:spacing w:before="80" w:after="80"/>
      </w:pPr>
    </w:p>
    <w:p w14:paraId="1ADE2CE0" w14:textId="77777777" w:rsidR="003756E4" w:rsidRDefault="00000000">
      <w:r>
        <w:br w:type="page"/>
      </w:r>
    </w:p>
    <w:p w14:paraId="586C609F" w14:textId="77777777" w:rsidR="003756E4" w:rsidRDefault="00000000">
      <w:pPr>
        <w:pStyle w:val="Ttulo1"/>
        <w:pBdr>
          <w:bottom w:val="single" w:sz="6" w:space="4" w:color="C9A84C"/>
        </w:pBdr>
        <w:spacing w:after="100"/>
      </w:pPr>
      <w:r>
        <w:lastRenderedPageBreak/>
        <w:t>3. Sector Monetario y Cambiario</w:t>
      </w:r>
    </w:p>
    <w:p w14:paraId="3D2EF918" w14:textId="68CC3CD8" w:rsidR="004F7416" w:rsidRDefault="004F7416">
      <w:pPr>
        <w:spacing w:before="60" w:after="60" w:line="276" w:lineRule="auto"/>
        <w:jc w:val="both"/>
      </w:pPr>
      <w:r>
        <w:t>Durante abril, el frente monetario y cambiario mantuvo una dinámica relativamente estable, con continuidad de la apreciación nominal del tipo de cambio oficial, acumulación de reservas y ausencia de tensiones disruptivas dentro del esquema de banda. Este comportamiento contribuyó a sostener el proceso de desinflación en el corto plazo</w:t>
      </w:r>
      <w:r w:rsidR="00A747CE">
        <w:t>. Si bien se generó debate del tipo de cambio de equilibrio hoy sabes que las exportaciones están en máximos alcanzados.</w:t>
      </w:r>
    </w:p>
    <w:p w14:paraId="50C38608" w14:textId="77777777" w:rsidR="003756E4" w:rsidRDefault="00000000">
      <w:pPr>
        <w:pStyle w:val="Ttulo2"/>
      </w:pPr>
      <w:r>
        <w:t>Tipo de Cambio — Abril 2026</w:t>
      </w:r>
    </w:p>
    <w:p w14:paraId="77F9CBAD" w14:textId="77777777" w:rsidR="003756E4" w:rsidRDefault="00000000">
      <w:pPr>
        <w:spacing w:before="60" w:after="60"/>
      </w:pPr>
      <w:r>
        <w:rPr>
          <w:b/>
          <w:bCs/>
          <w:color w:val="0A0E17"/>
        </w:rPr>
        <w:t xml:space="preserve">TC oficial promedio (Com. A 3500): </w:t>
      </w:r>
      <w:r>
        <w:t>$1.381,4 / USD (-1,0% mensual)</w:t>
      </w:r>
    </w:p>
    <w:p w14:paraId="4507A5D5" w14:textId="77777777" w:rsidR="003756E4" w:rsidRDefault="00000000">
      <w:pPr>
        <w:spacing w:before="60" w:after="60"/>
      </w:pPr>
      <w:r>
        <w:rPr>
          <w:b/>
          <w:bCs/>
          <w:color w:val="0A0E17"/>
        </w:rPr>
        <w:t xml:space="preserve">TC cierre 30/04/2026: </w:t>
      </w:r>
      <w:r>
        <w:t>$1.381,1 / USD</w:t>
      </w:r>
    </w:p>
    <w:p w14:paraId="5171AB21" w14:textId="77777777" w:rsidR="003756E4" w:rsidRDefault="00000000">
      <w:pPr>
        <w:spacing w:before="60" w:after="60"/>
      </w:pPr>
      <w:r>
        <w:rPr>
          <w:b/>
          <w:bCs/>
          <w:color w:val="0A0E17"/>
        </w:rPr>
        <w:t xml:space="preserve">Variación acumulada 2026: </w:t>
      </w:r>
      <w:r>
        <w:t>-4,5% nominal (apreciación real significativa)</w:t>
      </w:r>
    </w:p>
    <w:p w14:paraId="10BEE729" w14:textId="77777777" w:rsidR="003756E4" w:rsidRDefault="00000000">
      <w:pPr>
        <w:spacing w:before="60" w:after="60"/>
      </w:pPr>
      <w:r>
        <w:rPr>
          <w:b/>
          <w:bCs/>
          <w:color w:val="0A0E17"/>
        </w:rPr>
        <w:t xml:space="preserve">Banda de flotación — techo: </w:t>
      </w:r>
      <w:r>
        <w:t>~$1.700 / USD (brecha del 23% al cierre de abril)</w:t>
      </w:r>
    </w:p>
    <w:p w14:paraId="06B6BF07" w14:textId="77777777" w:rsidR="003756E4" w:rsidRDefault="003756E4"/>
    <w:p w14:paraId="2BCB2CB0" w14:textId="77777777" w:rsidR="003756E4" w:rsidRDefault="00000000">
      <w:pPr>
        <w:pStyle w:val="Ttulo2"/>
      </w:pPr>
      <w:r>
        <w:t>Reservas Internacionales</w:t>
      </w:r>
    </w:p>
    <w:p w14:paraId="2C7E17CF" w14:textId="77777777" w:rsidR="003756E4" w:rsidRDefault="00000000">
      <w:pPr>
        <w:pStyle w:val="Prrafodelista"/>
        <w:numPr>
          <w:ilvl w:val="0"/>
          <w:numId w:val="2"/>
        </w:numPr>
        <w:spacing w:before="40" w:after="40"/>
      </w:pPr>
      <w:r>
        <w:t>Reservas brutas al 30/04/2026: USD 44.516 M (+USD 2.464 M en el mes)</w:t>
      </w:r>
    </w:p>
    <w:p w14:paraId="7C6418B1" w14:textId="77777777" w:rsidR="003756E4" w:rsidRDefault="00000000">
      <w:pPr>
        <w:pStyle w:val="Prrafodelista"/>
        <w:numPr>
          <w:ilvl w:val="0"/>
          <w:numId w:val="2"/>
        </w:numPr>
        <w:spacing w:before="40" w:after="40"/>
      </w:pPr>
      <w:r>
        <w:t>Promedio mensual abril: USD 45.357 M</w:t>
      </w:r>
    </w:p>
    <w:p w14:paraId="27143CDB" w14:textId="77777777" w:rsidR="003756E4" w:rsidRDefault="00000000">
      <w:pPr>
        <w:pStyle w:val="Prrafodelista"/>
        <w:numPr>
          <w:ilvl w:val="0"/>
          <w:numId w:val="2"/>
        </w:numPr>
        <w:spacing w:before="40" w:after="40"/>
      </w:pPr>
      <w:r>
        <w:t>Compras BCRA en MLC abril: USD 2.770 M (mayor monto mensual de 2026)</w:t>
      </w:r>
    </w:p>
    <w:p w14:paraId="4E6F6F74" w14:textId="77777777" w:rsidR="003756E4" w:rsidRDefault="00000000">
      <w:pPr>
        <w:pStyle w:val="Prrafodelista"/>
        <w:numPr>
          <w:ilvl w:val="0"/>
          <w:numId w:val="2"/>
        </w:numPr>
        <w:spacing w:before="40" w:after="40"/>
      </w:pPr>
      <w:r>
        <w:t>Compras acumuladas al 21/05: USD 8.800 M — 92 jornadas consecutivas positivas</w:t>
      </w:r>
    </w:p>
    <w:p w14:paraId="2413A370" w14:textId="77777777" w:rsidR="003756E4" w:rsidRDefault="00000000">
      <w:pPr>
        <w:pStyle w:val="Prrafodelista"/>
        <w:numPr>
          <w:ilvl w:val="0"/>
          <w:numId w:val="2"/>
        </w:numPr>
        <w:spacing w:before="40" w:after="40"/>
      </w:pPr>
      <w:r>
        <w:t>Segunda revisión FMI aprobada (21/05): desembolso USD 1.000 M adicionales</w:t>
      </w:r>
    </w:p>
    <w:p w14:paraId="466700ED" w14:textId="77777777" w:rsidR="000A2D88" w:rsidRDefault="000A2D88" w:rsidP="000A2D88">
      <w:pPr>
        <w:pStyle w:val="Prrafodelista"/>
        <w:spacing w:before="40" w:after="40"/>
        <w:ind w:left="600"/>
      </w:pPr>
    </w:p>
    <w:p w14:paraId="739DC488" w14:textId="77777777" w:rsidR="004F7416" w:rsidRDefault="004F7416">
      <w:pPr>
        <w:spacing w:before="60" w:after="60" w:line="276" w:lineRule="auto"/>
        <w:jc w:val="both"/>
      </w:pPr>
      <w:r>
        <w:t>La acumulación de reservas observada en abril y mayo refuerza la consistencia del esquema actual, especialmente en un contexto de fuerte aporte del sector externo y continuidad del programa con el FMI. Sin embargo, la mejora de reservas brutas no elimina por completo las dudas sobre la posición neta ni sobre la capacidad de sostener una trayectoria cambiaria tan estable si las condiciones externas o financieras se modifican. En otras palabras, el escenario luce más robusto que meses atrás, pero todavía depende de supuestos exigentes.</w:t>
      </w:r>
    </w:p>
    <w:p w14:paraId="2071C18D" w14:textId="465F0AE6" w:rsidR="003756E4" w:rsidRDefault="000A2D88">
      <w:r>
        <w:rPr>
          <w:noProof/>
        </w:rPr>
        <w:drawing>
          <wp:inline distT="0" distB="0" distL="0" distR="0" wp14:anchorId="473201C8" wp14:editId="11C90B82">
            <wp:extent cx="6188710" cy="3560445"/>
            <wp:effectExtent l="0" t="0" r="0" b="0"/>
            <wp:docPr id="308457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5726" name="Imagen 30845726"/>
                    <pic:cNvPicPr/>
                  </pic:nvPicPr>
                  <pic:blipFill>
                    <a:blip r:embed="rId9">
                      <a:extLst>
                        <a:ext uri="{28A0092B-C50C-407E-A947-70E740481C1C}">
                          <a14:useLocalDpi xmlns:a14="http://schemas.microsoft.com/office/drawing/2010/main" val="0"/>
                        </a:ext>
                      </a:extLst>
                    </a:blip>
                    <a:stretch>
                      <a:fillRect/>
                    </a:stretch>
                  </pic:blipFill>
                  <pic:spPr>
                    <a:xfrm>
                      <a:off x="0" y="0"/>
                      <a:ext cx="6188710" cy="3560445"/>
                    </a:xfrm>
                    <a:prstGeom prst="rect">
                      <a:avLst/>
                    </a:prstGeom>
                  </pic:spPr>
                </pic:pic>
              </a:graphicData>
            </a:graphic>
          </wp:inline>
        </w:drawing>
      </w:r>
    </w:p>
    <w:p w14:paraId="7385A5DB" w14:textId="77777777" w:rsidR="003756E4" w:rsidRDefault="003756E4"/>
    <w:p w14:paraId="6938B259" w14:textId="77777777" w:rsidR="003756E4" w:rsidRDefault="00000000">
      <w:pPr>
        <w:pStyle w:val="Ttulo2"/>
      </w:pPr>
      <w:r>
        <w:lastRenderedPageBreak/>
        <w:t>Proyección Cambiaria y Monetaria</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800"/>
        <w:gridCol w:w="3000"/>
      </w:tblGrid>
      <w:tr w:rsidR="003756E4" w14:paraId="344F8717" w14:textId="77777777">
        <w:tblPrEx>
          <w:tblCellMar>
            <w:top w:w="0" w:type="dxa"/>
            <w:bottom w:w="0" w:type="dxa"/>
          </w:tblCellMar>
        </w:tblPrEx>
        <w:trPr>
          <w:tblHeader/>
        </w:trPr>
        <w:tc>
          <w:tcPr>
            <w:tcW w:w="24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3F1F00D6" w14:textId="77777777" w:rsidR="003756E4" w:rsidRDefault="00000000">
            <w:pPr>
              <w:jc w:val="center"/>
            </w:pPr>
            <w:r>
              <w:rPr>
                <w:b/>
                <w:bCs/>
                <w:color w:val="FFFFFF"/>
                <w:sz w:val="19"/>
                <w:szCs w:val="19"/>
              </w:rPr>
              <w:t>Período</w:t>
            </w:r>
          </w:p>
        </w:tc>
        <w:tc>
          <w:tcPr>
            <w:tcW w:w="38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236FD8ED" w14:textId="77777777" w:rsidR="003756E4" w:rsidRDefault="00000000">
            <w:pPr>
              <w:jc w:val="center"/>
            </w:pPr>
            <w:r>
              <w:rPr>
                <w:b/>
                <w:bCs/>
                <w:color w:val="FFFFFF"/>
                <w:sz w:val="19"/>
                <w:szCs w:val="19"/>
              </w:rPr>
              <w:t>TC mayorista (cierre)</w:t>
            </w:r>
          </w:p>
        </w:tc>
        <w:tc>
          <w:tcPr>
            <w:tcW w:w="30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14E1C501" w14:textId="77777777" w:rsidR="003756E4" w:rsidRDefault="00000000">
            <w:pPr>
              <w:jc w:val="center"/>
            </w:pPr>
            <w:r>
              <w:rPr>
                <w:b/>
                <w:bCs/>
                <w:color w:val="FFFFFF"/>
                <w:sz w:val="19"/>
                <w:szCs w:val="19"/>
              </w:rPr>
              <w:t>Dirección tasa</w:t>
            </w:r>
          </w:p>
        </w:tc>
      </w:tr>
      <w:tr w:rsidR="003756E4" w14:paraId="7A643355" w14:textId="77777777">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69FE3B05" w14:textId="77777777" w:rsidR="003756E4" w:rsidRDefault="00000000">
            <w:r>
              <w:rPr>
                <w:sz w:val="19"/>
                <w:szCs w:val="19"/>
              </w:rPr>
              <w:t>Mayo 2026</w:t>
            </w:r>
          </w:p>
        </w:tc>
        <w:tc>
          <w:tcPr>
            <w:tcW w:w="38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592B1B76" w14:textId="77777777" w:rsidR="003756E4" w:rsidRDefault="00000000">
            <w:pPr>
              <w:jc w:val="center"/>
            </w:pPr>
            <w:r>
              <w:rPr>
                <w:sz w:val="19"/>
                <w:szCs w:val="19"/>
              </w:rPr>
              <w:t>$1.380 - $1.400</w:t>
            </w:r>
          </w:p>
        </w:tc>
        <w:tc>
          <w:tcPr>
            <w:tcW w:w="30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65C9663E" w14:textId="77777777" w:rsidR="003756E4" w:rsidRDefault="00000000">
            <w:pPr>
              <w:jc w:val="center"/>
            </w:pPr>
            <w:r>
              <w:rPr>
                <w:sz w:val="19"/>
                <w:szCs w:val="19"/>
              </w:rPr>
              <w:t>Estable / leve baja</w:t>
            </w:r>
          </w:p>
        </w:tc>
      </w:tr>
      <w:tr w:rsidR="003756E4" w14:paraId="52F9112E" w14:textId="77777777">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711249C6" w14:textId="77777777" w:rsidR="003756E4" w:rsidRDefault="00000000">
            <w:r>
              <w:rPr>
                <w:sz w:val="19"/>
                <w:szCs w:val="19"/>
              </w:rPr>
              <w:t>Junio 2026</w:t>
            </w:r>
          </w:p>
        </w:tc>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65A5218C" w14:textId="77777777" w:rsidR="003756E4" w:rsidRDefault="00000000">
            <w:pPr>
              <w:jc w:val="center"/>
            </w:pPr>
            <w:r>
              <w:rPr>
                <w:sz w:val="19"/>
                <w:szCs w:val="19"/>
              </w:rPr>
              <w:t>$1.390 - $1.420</w:t>
            </w:r>
          </w:p>
        </w:tc>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0B04D200" w14:textId="77777777" w:rsidR="003756E4" w:rsidRDefault="00000000">
            <w:pPr>
              <w:jc w:val="center"/>
            </w:pPr>
            <w:r>
              <w:rPr>
                <w:sz w:val="19"/>
                <w:szCs w:val="19"/>
              </w:rPr>
              <w:t>Estable</w:t>
            </w:r>
          </w:p>
        </w:tc>
      </w:tr>
      <w:tr w:rsidR="003756E4" w14:paraId="37149759" w14:textId="77777777">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381500FB" w14:textId="77777777" w:rsidR="003756E4" w:rsidRDefault="00000000">
            <w:r>
              <w:rPr>
                <w:sz w:val="19"/>
                <w:szCs w:val="19"/>
              </w:rPr>
              <w:t>Julio 2026</w:t>
            </w:r>
          </w:p>
        </w:tc>
        <w:tc>
          <w:tcPr>
            <w:tcW w:w="38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18D36CE9" w14:textId="77777777" w:rsidR="003756E4" w:rsidRDefault="00000000">
            <w:pPr>
              <w:jc w:val="center"/>
            </w:pPr>
            <w:r>
              <w:rPr>
                <w:sz w:val="19"/>
                <w:szCs w:val="19"/>
              </w:rPr>
              <w:t>$1.400 - $1.440</w:t>
            </w:r>
          </w:p>
        </w:tc>
        <w:tc>
          <w:tcPr>
            <w:tcW w:w="30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0205E451" w14:textId="77777777" w:rsidR="003756E4" w:rsidRDefault="00000000">
            <w:pPr>
              <w:jc w:val="center"/>
            </w:pPr>
            <w:r>
              <w:rPr>
                <w:sz w:val="19"/>
                <w:szCs w:val="19"/>
              </w:rPr>
              <w:t>Estable / leve suba</w:t>
            </w:r>
          </w:p>
        </w:tc>
      </w:tr>
      <w:tr w:rsidR="003756E4" w14:paraId="5DCC2F90" w14:textId="77777777">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2BFEF359" w14:textId="77777777" w:rsidR="003756E4" w:rsidRDefault="00000000">
            <w:r>
              <w:rPr>
                <w:sz w:val="19"/>
                <w:szCs w:val="19"/>
              </w:rPr>
              <w:t>Dic. 2026</w:t>
            </w:r>
          </w:p>
        </w:tc>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6ECA68C8" w14:textId="77777777" w:rsidR="003756E4" w:rsidRDefault="00000000">
            <w:pPr>
              <w:jc w:val="center"/>
            </w:pPr>
            <w:r>
              <w:rPr>
                <w:sz w:val="19"/>
                <w:szCs w:val="19"/>
              </w:rPr>
              <w:t>$1.550 - $1.650</w:t>
            </w:r>
          </w:p>
        </w:tc>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6622BD7C" w14:textId="77777777" w:rsidR="003756E4" w:rsidRDefault="00000000">
            <w:pPr>
              <w:jc w:val="center"/>
            </w:pPr>
            <w:r>
              <w:rPr>
                <w:sz w:val="19"/>
                <w:szCs w:val="19"/>
              </w:rPr>
              <w:t>Convergencia gradual</w:t>
            </w:r>
          </w:p>
        </w:tc>
      </w:tr>
    </w:tbl>
    <w:p w14:paraId="7D498844" w14:textId="77777777" w:rsidR="003756E4" w:rsidRDefault="003756E4"/>
    <w:p w14:paraId="4D30F638" w14:textId="77777777" w:rsidR="004F7416" w:rsidRDefault="004F7416">
      <w:pPr>
        <w:spacing w:before="60" w:after="60" w:line="276" w:lineRule="auto"/>
        <w:jc w:val="both"/>
      </w:pPr>
      <w:r>
        <w:t>Se proyecta que el tipo de cambio oficial continúe moviéndose de manera administrada dentro de la banda durante el corto plazo, sin una corrección discreta en el escenario base. Esta previsión se apoya en el superávit comercial, el ingreso estacional de divisas y la señal de continuidad de la política monetaria actual. A su vez, la tasa de referencia podría mantenerse estable o registrar ajustes marginales a la baja si la inflación sigue cediendo y no aparecen tensiones sobre la demanda de cobertura. De todos modos, el principal riesgo para esta proyección radica en una eventual reversión de flujos financieros, una caída de precios de exportación o una percepción creciente de atraso cambiario.</w:t>
      </w:r>
    </w:p>
    <w:p w14:paraId="08FD9A8F" w14:textId="77777777" w:rsidR="003756E4" w:rsidRDefault="00000000">
      <w:pPr>
        <w:spacing w:before="60" w:after="60" w:line="276" w:lineRule="auto"/>
        <w:jc w:val="both"/>
      </w:pPr>
      <w:r>
        <w:rPr>
          <w:color w:val="6B7280"/>
        </w:rPr>
        <w:t xml:space="preserve">Supuesto base: BCRA mantiene flotación administrada dentro de la banda; compras en MLC sostenidas por superávit comercial. Riesgo: reversión de flujos de capital o caída de precios de </w:t>
      </w:r>
      <w:proofErr w:type="spellStart"/>
      <w:r>
        <w:rPr>
          <w:color w:val="6B7280"/>
        </w:rPr>
        <w:t>commodities</w:t>
      </w:r>
      <w:proofErr w:type="spellEnd"/>
      <w:r>
        <w:rPr>
          <w:color w:val="6B7280"/>
        </w:rPr>
        <w:t>.</w:t>
      </w:r>
    </w:p>
    <w:p w14:paraId="041F0B30" w14:textId="77777777" w:rsidR="003756E4" w:rsidRDefault="003756E4">
      <w:pPr>
        <w:pBdr>
          <w:bottom w:val="single" w:sz="8" w:space="1" w:color="0D9488"/>
        </w:pBdr>
        <w:spacing w:before="80" w:after="80"/>
      </w:pPr>
    </w:p>
    <w:p w14:paraId="35FCDC7F" w14:textId="77777777" w:rsidR="003756E4" w:rsidRDefault="00000000">
      <w:r>
        <w:br w:type="page"/>
      </w:r>
    </w:p>
    <w:p w14:paraId="40A3C67C" w14:textId="77777777" w:rsidR="003756E4" w:rsidRDefault="00000000">
      <w:pPr>
        <w:pStyle w:val="Ttulo1"/>
        <w:pBdr>
          <w:bottom w:val="single" w:sz="6" w:space="4" w:color="C9A84C"/>
        </w:pBdr>
        <w:spacing w:after="100"/>
      </w:pPr>
      <w:r>
        <w:lastRenderedPageBreak/>
        <w:t>4. Sector Externo</w:t>
      </w:r>
    </w:p>
    <w:p w14:paraId="3BA07F6D" w14:textId="77777777" w:rsidR="004F7416" w:rsidRDefault="004F7416">
      <w:pPr>
        <w:spacing w:before="60" w:after="60" w:line="276" w:lineRule="auto"/>
        <w:jc w:val="both"/>
      </w:pPr>
      <w:r>
        <w:t>El sector externo volvió a ser uno de los principales puntos de apoyo de la macroeconomía argentina durante abril. El fuerte crecimiento de las exportaciones, combinado con importaciones todavía contenidas, permitió sostener un superávit comercial elevado y reforzar el proceso de acumulación de reservas. Esta dinámica no solo mejora el flujo externo de corto plazo, sino que también contribuye a darle mayor consistencia al escenario cambiario y monetario.</w:t>
      </w:r>
    </w:p>
    <w:p w14:paraId="66024E6C" w14:textId="77777777" w:rsidR="003756E4" w:rsidRDefault="00000000">
      <w:pPr>
        <w:pStyle w:val="Ttulo2"/>
      </w:pPr>
      <w:r>
        <w:t>Balanza Comercial — Abril 2026 (INDEC, publicado 20/05/2026)</w:t>
      </w:r>
    </w:p>
    <w:p w14:paraId="01877B1A" w14:textId="77777777" w:rsidR="003756E4" w:rsidRDefault="00000000">
      <w:pPr>
        <w:spacing w:before="60" w:after="60"/>
      </w:pPr>
      <w:r>
        <w:rPr>
          <w:b/>
          <w:bCs/>
          <w:color w:val="0A0E17"/>
        </w:rPr>
        <w:t xml:space="preserve">Exportaciones FOB: </w:t>
      </w:r>
      <w:r>
        <w:t xml:space="preserve">USD 8.914 M — récord histórico nominal (+33,6% </w:t>
      </w:r>
      <w:proofErr w:type="spellStart"/>
      <w:r>
        <w:t>i.a</w:t>
      </w:r>
      <w:proofErr w:type="spellEnd"/>
      <w:r>
        <w:t>.)</w:t>
      </w:r>
    </w:p>
    <w:p w14:paraId="458A3D35" w14:textId="77777777" w:rsidR="003756E4" w:rsidRDefault="00000000">
      <w:pPr>
        <w:spacing w:before="60" w:after="60"/>
      </w:pPr>
      <w:r>
        <w:rPr>
          <w:b/>
          <w:bCs/>
          <w:color w:val="0A0E17"/>
        </w:rPr>
        <w:t xml:space="preserve">Importaciones CIF: </w:t>
      </w:r>
      <w:r>
        <w:t xml:space="preserve">USD 6.204 M (-4,0% </w:t>
      </w:r>
      <w:proofErr w:type="spellStart"/>
      <w:r>
        <w:t>i.a</w:t>
      </w:r>
      <w:proofErr w:type="spellEnd"/>
      <w:r>
        <w:t>.)</w:t>
      </w:r>
    </w:p>
    <w:p w14:paraId="635AECE6" w14:textId="77777777" w:rsidR="003756E4" w:rsidRDefault="00000000">
      <w:pPr>
        <w:spacing w:before="60" w:after="60"/>
      </w:pPr>
      <w:r>
        <w:rPr>
          <w:b/>
          <w:bCs/>
          <w:color w:val="0A0E17"/>
        </w:rPr>
        <w:t xml:space="preserve">Superávit comercial: </w:t>
      </w:r>
      <w:r>
        <w:t>USD 2.711 M — récord para un mes de abril (29° mes consecutivo)</w:t>
      </w:r>
    </w:p>
    <w:p w14:paraId="323F2645" w14:textId="77777777" w:rsidR="003756E4" w:rsidRDefault="00000000">
      <w:pPr>
        <w:spacing w:before="60" w:after="60"/>
      </w:pPr>
      <w:r>
        <w:rPr>
          <w:b/>
          <w:bCs/>
          <w:color w:val="0A0E17"/>
        </w:rPr>
        <w:t xml:space="preserve">Términos del intercambio: </w:t>
      </w:r>
      <w:r>
        <w:t xml:space="preserve">Índice 149,5 (+6,5% </w:t>
      </w:r>
      <w:proofErr w:type="spellStart"/>
      <w:r>
        <w:t>i.a</w:t>
      </w:r>
      <w:proofErr w:type="spellEnd"/>
      <w:r>
        <w:t>.) — ganancia de USD 520 M</w:t>
      </w:r>
    </w:p>
    <w:p w14:paraId="3BAC026D" w14:textId="77777777" w:rsidR="003756E4" w:rsidRDefault="003756E4"/>
    <w:p w14:paraId="50E5F5E0" w14:textId="77777777" w:rsidR="003756E4" w:rsidRDefault="00000000">
      <w:pPr>
        <w:pStyle w:val="Ttulo2"/>
      </w:pPr>
      <w:r>
        <w:t>Exportaciones por rubro — Abril 2026</w:t>
      </w:r>
    </w:p>
    <w:p w14:paraId="211669E5" w14:textId="77777777" w:rsidR="003756E4" w:rsidRDefault="00000000">
      <w:pPr>
        <w:pStyle w:val="Prrafodelista"/>
        <w:numPr>
          <w:ilvl w:val="0"/>
          <w:numId w:val="2"/>
        </w:numPr>
        <w:spacing w:before="40" w:after="40"/>
      </w:pPr>
      <w:r>
        <w:t xml:space="preserve">MOI (Manufacturas de Origen Industrial): USD 2.528 M (+43,3% </w:t>
      </w:r>
      <w:proofErr w:type="spellStart"/>
      <w:r>
        <w:t>i.a</w:t>
      </w:r>
      <w:proofErr w:type="spellEnd"/>
      <w:r>
        <w:t>.) — máximo desde nov. 2012</w:t>
      </w:r>
    </w:p>
    <w:p w14:paraId="73E92FA9" w14:textId="77777777" w:rsidR="003756E4" w:rsidRDefault="00000000">
      <w:pPr>
        <w:pStyle w:val="Prrafodelista"/>
        <w:numPr>
          <w:ilvl w:val="0"/>
          <w:numId w:val="2"/>
        </w:numPr>
        <w:spacing w:before="40" w:after="40"/>
      </w:pPr>
      <w:r>
        <w:t xml:space="preserve">Productos primarios: USD 2.127 M (+25% </w:t>
      </w:r>
      <w:proofErr w:type="spellStart"/>
      <w:r>
        <w:t>i.a</w:t>
      </w:r>
      <w:proofErr w:type="spellEnd"/>
      <w:r>
        <w:t>.)</w:t>
      </w:r>
    </w:p>
    <w:p w14:paraId="53D64C72" w14:textId="77777777" w:rsidR="003756E4" w:rsidRDefault="00000000">
      <w:pPr>
        <w:pStyle w:val="Prrafodelista"/>
        <w:numPr>
          <w:ilvl w:val="0"/>
          <w:numId w:val="2"/>
        </w:numPr>
        <w:spacing w:before="40" w:after="40"/>
      </w:pPr>
      <w:r>
        <w:t xml:space="preserve">Combustibles y energía: USD 1.554 M (+85,9% </w:t>
      </w:r>
      <w:proofErr w:type="spellStart"/>
      <w:r>
        <w:t>i.a</w:t>
      </w:r>
      <w:proofErr w:type="spellEnd"/>
      <w:r>
        <w:t>.) — récord histórico del sector</w:t>
      </w:r>
    </w:p>
    <w:p w14:paraId="5F3F9A89" w14:textId="77777777" w:rsidR="003756E4" w:rsidRDefault="00000000">
      <w:pPr>
        <w:pStyle w:val="Prrafodelista"/>
        <w:numPr>
          <w:ilvl w:val="0"/>
          <w:numId w:val="2"/>
        </w:numPr>
        <w:spacing w:before="40" w:after="40"/>
      </w:pPr>
      <w:r>
        <w:t>Acumulado cuatrimestre: exportaciones USD 30.820 M (+21,5%); superávit USD 8.277 M</w:t>
      </w:r>
    </w:p>
    <w:p w14:paraId="4F1079EF" w14:textId="77777777" w:rsidR="000A2D88" w:rsidRDefault="000A2D88" w:rsidP="000A2D88">
      <w:pPr>
        <w:pStyle w:val="Prrafodelista"/>
        <w:spacing w:before="40" w:after="40"/>
        <w:ind w:left="600"/>
      </w:pPr>
    </w:p>
    <w:p w14:paraId="767A48C4" w14:textId="77777777" w:rsidR="004F7416" w:rsidRDefault="004F7416">
      <w:pPr>
        <w:spacing w:before="60" w:after="60" w:line="276" w:lineRule="auto"/>
        <w:jc w:val="both"/>
      </w:pPr>
      <w:r>
        <w:t>La composición de las exportaciones confirma que el buen desempeño externo no depende de un solo sector. A la recuperación del agro se suman el mayor dinamismo de las manufacturas industriales y un aporte cada vez más relevante del complejo energético. Esto vuelve al frente externo una fuente de alivio más diversificada que en otros momentos del ciclo. Sin embargo, parte del resultado también responde a importaciones aún deprimidas, por lo que una normalización de la actividad doméstica debería traducirse gradualmente en mayores compras externas.</w:t>
      </w:r>
    </w:p>
    <w:p w14:paraId="261873E8" w14:textId="6A4C1C41" w:rsidR="003756E4" w:rsidRDefault="000A2D88">
      <w:r>
        <w:rPr>
          <w:noProof/>
        </w:rPr>
        <w:drawing>
          <wp:inline distT="0" distB="0" distL="0" distR="0" wp14:anchorId="04E4E972" wp14:editId="4664A539">
            <wp:extent cx="6188710" cy="1857375"/>
            <wp:effectExtent l="0" t="0" r="0" b="0"/>
            <wp:docPr id="1015897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9731" name="Imagen 1015897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8710" cy="1857375"/>
                    </a:xfrm>
                    <a:prstGeom prst="rect">
                      <a:avLst/>
                    </a:prstGeom>
                  </pic:spPr>
                </pic:pic>
              </a:graphicData>
            </a:graphic>
          </wp:inline>
        </w:drawing>
      </w:r>
    </w:p>
    <w:p w14:paraId="4A98A53C" w14:textId="77777777" w:rsidR="003756E4" w:rsidRDefault="003756E4"/>
    <w:p w14:paraId="5D07C50A" w14:textId="77777777" w:rsidR="003756E4" w:rsidRDefault="00000000">
      <w:pPr>
        <w:pStyle w:val="Ttulo2"/>
      </w:pPr>
      <w:r>
        <w:t>Proyección — Comercio Exterior</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2600"/>
        <w:gridCol w:w="2600"/>
        <w:gridCol w:w="2100"/>
      </w:tblGrid>
      <w:tr w:rsidR="003756E4" w14:paraId="6385DC65" w14:textId="77777777">
        <w:tblPrEx>
          <w:tblCellMar>
            <w:top w:w="0" w:type="dxa"/>
            <w:bottom w:w="0" w:type="dxa"/>
          </w:tblCellMar>
        </w:tblPrEx>
        <w:trPr>
          <w:tblHeader/>
        </w:trPr>
        <w:tc>
          <w:tcPr>
            <w:tcW w:w="19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0E1EED19" w14:textId="77777777" w:rsidR="003756E4" w:rsidRDefault="00000000">
            <w:pPr>
              <w:jc w:val="center"/>
            </w:pPr>
            <w:r>
              <w:rPr>
                <w:b/>
                <w:bCs/>
                <w:color w:val="FFFFFF"/>
                <w:sz w:val="19"/>
                <w:szCs w:val="19"/>
              </w:rPr>
              <w:t>Mes</w:t>
            </w:r>
          </w:p>
        </w:tc>
        <w:tc>
          <w:tcPr>
            <w:tcW w:w="26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537A911A" w14:textId="77777777" w:rsidR="003756E4" w:rsidRDefault="00000000">
            <w:pPr>
              <w:jc w:val="center"/>
            </w:pPr>
            <w:proofErr w:type="spellStart"/>
            <w:r>
              <w:rPr>
                <w:b/>
                <w:bCs/>
                <w:color w:val="FFFFFF"/>
                <w:sz w:val="19"/>
                <w:szCs w:val="19"/>
              </w:rPr>
              <w:t>Export</w:t>
            </w:r>
            <w:proofErr w:type="spellEnd"/>
            <w:r>
              <w:rPr>
                <w:b/>
                <w:bCs/>
                <w:color w:val="FFFFFF"/>
                <w:sz w:val="19"/>
                <w:szCs w:val="19"/>
              </w:rPr>
              <w:t>. FOB (Mill. USD)</w:t>
            </w:r>
          </w:p>
        </w:tc>
        <w:tc>
          <w:tcPr>
            <w:tcW w:w="26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201D750E" w14:textId="77777777" w:rsidR="003756E4" w:rsidRDefault="00000000">
            <w:pPr>
              <w:jc w:val="center"/>
            </w:pPr>
            <w:proofErr w:type="spellStart"/>
            <w:r>
              <w:rPr>
                <w:b/>
                <w:bCs/>
                <w:color w:val="FFFFFF"/>
                <w:sz w:val="19"/>
                <w:szCs w:val="19"/>
              </w:rPr>
              <w:t>Import</w:t>
            </w:r>
            <w:proofErr w:type="spellEnd"/>
            <w:r>
              <w:rPr>
                <w:b/>
                <w:bCs/>
                <w:color w:val="FFFFFF"/>
                <w:sz w:val="19"/>
                <w:szCs w:val="19"/>
              </w:rPr>
              <w:t>. CIF (Mill. USD)</w:t>
            </w:r>
          </w:p>
        </w:tc>
        <w:tc>
          <w:tcPr>
            <w:tcW w:w="21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25204F10" w14:textId="77777777" w:rsidR="003756E4" w:rsidRDefault="00000000">
            <w:pPr>
              <w:jc w:val="center"/>
            </w:pPr>
            <w:r>
              <w:rPr>
                <w:b/>
                <w:bCs/>
                <w:color w:val="FFFFFF"/>
                <w:sz w:val="19"/>
                <w:szCs w:val="19"/>
              </w:rPr>
              <w:t>Saldo estimado</w:t>
            </w:r>
          </w:p>
        </w:tc>
      </w:tr>
      <w:tr w:rsidR="003756E4" w14:paraId="346E9E8C" w14:textId="77777777">
        <w:tblPrEx>
          <w:tblCellMar>
            <w:top w:w="0" w:type="dxa"/>
            <w:bottom w:w="0" w:type="dxa"/>
          </w:tblCellMar>
        </w:tblPrEx>
        <w:tc>
          <w:tcPr>
            <w:tcW w:w="19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216508C0" w14:textId="77777777" w:rsidR="003756E4" w:rsidRDefault="00000000">
            <w:r>
              <w:rPr>
                <w:sz w:val="19"/>
                <w:szCs w:val="19"/>
              </w:rPr>
              <w:t>Mayo 2026</w:t>
            </w:r>
          </w:p>
        </w:tc>
        <w:tc>
          <w:tcPr>
            <w:tcW w:w="26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3C0D8378" w14:textId="77777777" w:rsidR="003756E4" w:rsidRDefault="00000000">
            <w:pPr>
              <w:jc w:val="center"/>
            </w:pPr>
            <w:r>
              <w:rPr>
                <w:sz w:val="19"/>
                <w:szCs w:val="19"/>
              </w:rPr>
              <w:t>USD 7.800 - 8.400</w:t>
            </w:r>
          </w:p>
        </w:tc>
        <w:tc>
          <w:tcPr>
            <w:tcW w:w="26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6D7964A3" w14:textId="77777777" w:rsidR="003756E4" w:rsidRDefault="00000000">
            <w:pPr>
              <w:jc w:val="center"/>
            </w:pPr>
            <w:r>
              <w:rPr>
                <w:sz w:val="19"/>
                <w:szCs w:val="19"/>
              </w:rPr>
              <w:t>USD 6.200 - 6.600</w:t>
            </w:r>
          </w:p>
        </w:tc>
        <w:tc>
          <w:tcPr>
            <w:tcW w:w="21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6516BD72" w14:textId="77777777" w:rsidR="003756E4" w:rsidRDefault="00000000">
            <w:pPr>
              <w:jc w:val="center"/>
            </w:pPr>
            <w:r>
              <w:rPr>
                <w:sz w:val="19"/>
                <w:szCs w:val="19"/>
              </w:rPr>
              <w:t>USD 1.600 - 1.800</w:t>
            </w:r>
          </w:p>
        </w:tc>
      </w:tr>
      <w:tr w:rsidR="003756E4" w14:paraId="5E4A9952" w14:textId="77777777">
        <w:tblPrEx>
          <w:tblCellMar>
            <w:top w:w="0" w:type="dxa"/>
            <w:bottom w:w="0" w:type="dxa"/>
          </w:tblCellMar>
        </w:tblPrEx>
        <w:tc>
          <w:tcPr>
            <w:tcW w:w="19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12C53C6D" w14:textId="77777777" w:rsidR="003756E4" w:rsidRDefault="00000000">
            <w:r>
              <w:rPr>
                <w:sz w:val="19"/>
                <w:szCs w:val="19"/>
              </w:rPr>
              <w:t>Junio 2026</w:t>
            </w:r>
          </w:p>
        </w:tc>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33ABD3BA" w14:textId="77777777" w:rsidR="003756E4" w:rsidRDefault="00000000">
            <w:pPr>
              <w:jc w:val="center"/>
            </w:pPr>
            <w:r>
              <w:rPr>
                <w:sz w:val="19"/>
                <w:szCs w:val="19"/>
              </w:rPr>
              <w:t>USD 7.500 - 8.200</w:t>
            </w:r>
          </w:p>
        </w:tc>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61E64DE6" w14:textId="77777777" w:rsidR="003756E4" w:rsidRDefault="00000000">
            <w:pPr>
              <w:jc w:val="center"/>
            </w:pPr>
            <w:r>
              <w:rPr>
                <w:sz w:val="19"/>
                <w:szCs w:val="19"/>
              </w:rPr>
              <w:t>USD 6.300 - 6.700</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5B476DC2" w14:textId="77777777" w:rsidR="003756E4" w:rsidRDefault="00000000">
            <w:pPr>
              <w:jc w:val="center"/>
            </w:pPr>
            <w:r>
              <w:rPr>
                <w:sz w:val="19"/>
                <w:szCs w:val="19"/>
              </w:rPr>
              <w:t>USD 1.200 - 1.500</w:t>
            </w:r>
          </w:p>
        </w:tc>
      </w:tr>
      <w:tr w:rsidR="003756E4" w14:paraId="12F984E3" w14:textId="77777777">
        <w:tblPrEx>
          <w:tblCellMar>
            <w:top w:w="0" w:type="dxa"/>
            <w:bottom w:w="0" w:type="dxa"/>
          </w:tblCellMar>
        </w:tblPrEx>
        <w:tc>
          <w:tcPr>
            <w:tcW w:w="19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6EE8C391" w14:textId="77777777" w:rsidR="003756E4" w:rsidRDefault="00000000">
            <w:r>
              <w:rPr>
                <w:sz w:val="19"/>
                <w:szCs w:val="19"/>
              </w:rPr>
              <w:t>Julio 2026</w:t>
            </w:r>
          </w:p>
        </w:tc>
        <w:tc>
          <w:tcPr>
            <w:tcW w:w="26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72A37747" w14:textId="77777777" w:rsidR="003756E4" w:rsidRDefault="00000000">
            <w:pPr>
              <w:jc w:val="center"/>
            </w:pPr>
            <w:r>
              <w:rPr>
                <w:sz w:val="19"/>
                <w:szCs w:val="19"/>
              </w:rPr>
              <w:t>USD 7.200 - 7.800</w:t>
            </w:r>
          </w:p>
        </w:tc>
        <w:tc>
          <w:tcPr>
            <w:tcW w:w="26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0423C453" w14:textId="77777777" w:rsidR="003756E4" w:rsidRDefault="00000000">
            <w:pPr>
              <w:jc w:val="center"/>
            </w:pPr>
            <w:r>
              <w:rPr>
                <w:sz w:val="19"/>
                <w:szCs w:val="19"/>
              </w:rPr>
              <w:t>USD 6.400 - 6.800</w:t>
            </w:r>
          </w:p>
        </w:tc>
        <w:tc>
          <w:tcPr>
            <w:tcW w:w="21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6B2F5C6C" w14:textId="77777777" w:rsidR="003756E4" w:rsidRDefault="00000000">
            <w:pPr>
              <w:jc w:val="center"/>
            </w:pPr>
            <w:r>
              <w:rPr>
                <w:sz w:val="19"/>
                <w:szCs w:val="19"/>
              </w:rPr>
              <w:t>USD 800 - 1.400</w:t>
            </w:r>
          </w:p>
        </w:tc>
      </w:tr>
    </w:tbl>
    <w:p w14:paraId="5186A600" w14:textId="77777777" w:rsidR="004F7416" w:rsidRDefault="004F7416">
      <w:pPr>
        <w:spacing w:before="60" w:after="60" w:line="276" w:lineRule="auto"/>
        <w:jc w:val="both"/>
      </w:pPr>
      <w:r>
        <w:t xml:space="preserve">Para los próximos meses se espera que las exportaciones se mantengan en niveles elevados, aunque con una moderación gradual respecto del pico registrado en abril. La estacionalidad de la </w:t>
      </w:r>
      <w:r>
        <w:lastRenderedPageBreak/>
        <w:t>cosecha gruesa, junto con la continuidad del aporte energético, debería sostener un flujo externo favorable durante el trimestre. Del lado de las importaciones, el escenario base contempla una recuperación progresiva asociada a mayor actividad interna y reposición de insumos. Por esa razón, el superávit comercial seguiría siendo amplio, aunque con cierta tendencia a reducirse hacia mitad de año.</w:t>
      </w:r>
    </w:p>
    <w:p w14:paraId="096BB071" w14:textId="77777777" w:rsidR="003756E4" w:rsidRDefault="003756E4">
      <w:pPr>
        <w:pBdr>
          <w:bottom w:val="single" w:sz="8" w:space="1" w:color="C9A84C"/>
        </w:pBdr>
        <w:spacing w:before="80" w:after="80"/>
      </w:pPr>
    </w:p>
    <w:p w14:paraId="035C8678" w14:textId="77777777" w:rsidR="003756E4" w:rsidRDefault="00000000">
      <w:r>
        <w:br w:type="page"/>
      </w:r>
    </w:p>
    <w:p w14:paraId="0F9F4B8A" w14:textId="77777777" w:rsidR="003756E4" w:rsidRDefault="00000000">
      <w:pPr>
        <w:pStyle w:val="Ttulo1"/>
        <w:pBdr>
          <w:bottom w:val="single" w:sz="6" w:space="4" w:color="C9A84C"/>
        </w:pBdr>
        <w:spacing w:after="100"/>
      </w:pPr>
      <w:r>
        <w:lastRenderedPageBreak/>
        <w:t>5. Sector Fiscal</w:t>
      </w:r>
    </w:p>
    <w:p w14:paraId="186E472F" w14:textId="07AAC349" w:rsidR="004F7416" w:rsidRDefault="004F7416">
      <w:pPr>
        <w:spacing w:before="60" w:after="60" w:line="276" w:lineRule="auto"/>
        <w:jc w:val="both"/>
      </w:pPr>
      <w:r>
        <w:t>El resultado fiscal de abril volvió a mostrar superávit primario y financiero, prolongando una secuencia que sigue siendo central dentro del programa económico actual. La continuidad de este desempeño refuerza la señal de disciplina fiscal que el Gobierno busca consolidar ante el mercado y los organismos internacionales</w:t>
      </w:r>
      <w:r w:rsidR="00A747CE">
        <w:t>.</w:t>
      </w:r>
    </w:p>
    <w:p w14:paraId="6D21AB79" w14:textId="77777777" w:rsidR="003756E4" w:rsidRDefault="00000000">
      <w:pPr>
        <w:pStyle w:val="Ttulo2"/>
      </w:pPr>
      <w:r>
        <w:t>Resultado SPNF — Abril 2026 (Ministerio de Economía)</w:t>
      </w:r>
    </w:p>
    <w:p w14:paraId="3FBC1F98" w14:textId="77777777" w:rsidR="003756E4" w:rsidRDefault="00000000">
      <w:pPr>
        <w:spacing w:before="60" w:after="60"/>
      </w:pPr>
      <w:r>
        <w:rPr>
          <w:b/>
          <w:bCs/>
          <w:color w:val="0A0E17"/>
        </w:rPr>
        <w:t xml:space="preserve">Superávit primario: </w:t>
      </w:r>
      <w:r>
        <w:t>$632.844 M — 4° mes consecutivo en verde</w:t>
      </w:r>
    </w:p>
    <w:p w14:paraId="2F14CD95" w14:textId="77777777" w:rsidR="003756E4" w:rsidRDefault="00000000">
      <w:pPr>
        <w:spacing w:before="60" w:after="60"/>
      </w:pPr>
      <w:r>
        <w:rPr>
          <w:b/>
          <w:bCs/>
          <w:color w:val="0A0E17"/>
        </w:rPr>
        <w:t xml:space="preserve">Superávit financiero: </w:t>
      </w:r>
      <w:r>
        <w:t>$268.103 M (tras pago de intereses $364.741 M)</w:t>
      </w:r>
    </w:p>
    <w:p w14:paraId="4C1F8BEB" w14:textId="77777777" w:rsidR="003756E4" w:rsidRDefault="00000000">
      <w:pPr>
        <w:spacing w:before="60" w:after="60"/>
      </w:pPr>
      <w:r>
        <w:rPr>
          <w:b/>
          <w:bCs/>
          <w:color w:val="0A0E17"/>
        </w:rPr>
        <w:t xml:space="preserve">Ingresos SPN: </w:t>
      </w:r>
      <w:r>
        <w:t xml:space="preserve">$13.411.787 M (+29,6% </w:t>
      </w:r>
      <w:proofErr w:type="spellStart"/>
      <w:r>
        <w:t>i.a</w:t>
      </w:r>
      <w:proofErr w:type="spellEnd"/>
      <w:r>
        <w:t>. nominal / -2,1% real)</w:t>
      </w:r>
    </w:p>
    <w:p w14:paraId="71479873" w14:textId="77777777" w:rsidR="003756E4" w:rsidRDefault="00000000">
      <w:pPr>
        <w:spacing w:before="60" w:after="60"/>
      </w:pPr>
      <w:r>
        <w:rPr>
          <w:b/>
          <w:bCs/>
          <w:color w:val="0A0E17"/>
        </w:rPr>
        <w:t xml:space="preserve">Gastos primarios: </w:t>
      </w:r>
      <w:r>
        <w:t xml:space="preserve">$12.778.943 M (+34,5% </w:t>
      </w:r>
      <w:proofErr w:type="spellStart"/>
      <w:r>
        <w:t>i.a</w:t>
      </w:r>
      <w:proofErr w:type="spellEnd"/>
      <w:r>
        <w:t>. nominal)</w:t>
      </w:r>
    </w:p>
    <w:p w14:paraId="62B06B10" w14:textId="77777777" w:rsidR="003756E4" w:rsidRDefault="00000000">
      <w:pPr>
        <w:spacing w:before="60" w:after="60"/>
      </w:pPr>
      <w:r>
        <w:rPr>
          <w:b/>
          <w:bCs/>
          <w:color w:val="0A0E17"/>
        </w:rPr>
        <w:t xml:space="preserve">Acumulado en % PBI: </w:t>
      </w:r>
      <w:r>
        <w:t>~0,5% del PBI (meta FMI 2026: 1,4% del PBI)</w:t>
      </w:r>
    </w:p>
    <w:p w14:paraId="2508253F" w14:textId="77777777" w:rsidR="003756E4" w:rsidRDefault="003756E4"/>
    <w:p w14:paraId="4489B2F6" w14:textId="77777777" w:rsidR="003756E4" w:rsidRDefault="00000000">
      <w:pPr>
        <w:pStyle w:val="Prrafodelista"/>
        <w:numPr>
          <w:ilvl w:val="0"/>
          <w:numId w:val="2"/>
        </w:numPr>
        <w:spacing w:before="40" w:after="40"/>
      </w:pPr>
      <w:r>
        <w:t xml:space="preserve">Derechos de exportación -17,4% </w:t>
      </w:r>
      <w:proofErr w:type="spellStart"/>
      <w:r>
        <w:t>i.a</w:t>
      </w:r>
      <w:proofErr w:type="spellEnd"/>
      <w:r>
        <w:t>. (efecto baja de retenciones)</w:t>
      </w:r>
    </w:p>
    <w:p w14:paraId="71A34F5F" w14:textId="77777777" w:rsidR="003756E4" w:rsidRDefault="00000000">
      <w:pPr>
        <w:pStyle w:val="Prrafodelista"/>
        <w:numPr>
          <w:ilvl w:val="0"/>
          <w:numId w:val="2"/>
        </w:numPr>
        <w:spacing w:before="40" w:after="40"/>
      </w:pPr>
      <w:r>
        <w:t xml:space="preserve">Gasto de capital +123,2% </w:t>
      </w:r>
      <w:proofErr w:type="spellStart"/>
      <w:r>
        <w:t>i.a</w:t>
      </w:r>
      <w:proofErr w:type="spellEnd"/>
      <w:r>
        <w:t>. nominal</w:t>
      </w:r>
    </w:p>
    <w:p w14:paraId="2128DEB5" w14:textId="77777777" w:rsidR="003756E4" w:rsidRDefault="00000000">
      <w:pPr>
        <w:pStyle w:val="Prrafodelista"/>
        <w:numPr>
          <w:ilvl w:val="0"/>
          <w:numId w:val="2"/>
        </w:numPr>
        <w:spacing w:before="40" w:after="40"/>
      </w:pPr>
      <w:r>
        <w:t>26 de los últimos 28 meses con superávit primario</w:t>
      </w:r>
    </w:p>
    <w:p w14:paraId="37F48E83" w14:textId="77777777" w:rsidR="003756E4" w:rsidRDefault="00000000">
      <w:pPr>
        <w:pStyle w:val="Prrafodelista"/>
        <w:numPr>
          <w:ilvl w:val="0"/>
          <w:numId w:val="2"/>
        </w:numPr>
        <w:spacing w:before="40" w:after="40"/>
      </w:pPr>
      <w:r>
        <w:t>Segunda revisión FMI aprobada; próximo desembolso: USD 1.000 M</w:t>
      </w:r>
    </w:p>
    <w:p w14:paraId="3C0BF961" w14:textId="77777777" w:rsidR="003756E4" w:rsidRDefault="003756E4"/>
    <w:p w14:paraId="61E2E07F" w14:textId="77777777" w:rsidR="004F7416" w:rsidRDefault="004F7416">
      <w:pPr>
        <w:spacing w:before="60" w:after="60" w:line="276" w:lineRule="auto"/>
        <w:jc w:val="both"/>
      </w:pPr>
      <w:r>
        <w:t>En términos de composición, el frente fiscal combina señales positivas y focos de atención. Por un lado, la persistencia del superávit refleja una política de gasto todavía contenida y un compromiso explícito con la meta anual. Por otro, la caída real de algunos ingresos tributarios —en particular los vinculados al comercio exterior— sugiere que el margen de maniobra podría estrecharse si no mejora la recaudación o si el gasto empieza a mostrar mayor rigidez. Esto vuelve especialmente importante la lectura del segundo semestre.</w:t>
      </w:r>
    </w:p>
    <w:p w14:paraId="44F3AB57" w14:textId="6F5D64D7" w:rsidR="003756E4" w:rsidRDefault="000A2D88">
      <w:r>
        <w:rPr>
          <w:noProof/>
        </w:rPr>
        <w:drawing>
          <wp:inline distT="0" distB="0" distL="0" distR="0" wp14:anchorId="6CF27DB2" wp14:editId="78072D60">
            <wp:extent cx="6188710" cy="1938020"/>
            <wp:effectExtent l="0" t="0" r="0" b="5080"/>
            <wp:docPr id="130884993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49930" name="Imagen 13088499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88710" cy="1938020"/>
                    </a:xfrm>
                    <a:prstGeom prst="rect">
                      <a:avLst/>
                    </a:prstGeom>
                  </pic:spPr>
                </pic:pic>
              </a:graphicData>
            </a:graphic>
          </wp:inline>
        </w:drawing>
      </w:r>
    </w:p>
    <w:p w14:paraId="00606537" w14:textId="77777777" w:rsidR="000A2D88" w:rsidRDefault="000A2D88"/>
    <w:p w14:paraId="5300F1A9" w14:textId="77777777" w:rsidR="003756E4" w:rsidRDefault="00000000">
      <w:pPr>
        <w:spacing w:before="60" w:after="60" w:line="276" w:lineRule="auto"/>
        <w:jc w:val="both"/>
      </w:pPr>
      <w:r>
        <w:rPr>
          <w:color w:val="6B7280"/>
        </w:rPr>
        <w:t>Para cumplir la meta de 1,4% del PBI acordada con el FMI, el Gobierno necesita acumular ~0,9 p.p. adicionales en los próximos 8 meses. La caída real de ingresos (retenciones y recaudación tributaria) representa el principal riesgo fiscal de corto plazo.</w:t>
      </w:r>
    </w:p>
    <w:p w14:paraId="6BBCC834" w14:textId="77777777" w:rsidR="004F7416" w:rsidRDefault="004F7416">
      <w:pPr>
        <w:spacing w:before="60" w:after="60" w:line="276" w:lineRule="auto"/>
        <w:jc w:val="both"/>
      </w:pPr>
      <w:r>
        <w:t>El escenario base contempla que la meta fiscal anual siga siendo alcanzable, aunque con menor holgura que la observada al comienzo del año. Para sostener este sendero será necesario que el control del gasto continúe acompañado por una recuperación parcial de la recaudación real y por la ausencia de desvíos significativos en partidas sensibles. En este sentido, el riesgo fiscal de corto plazo no proviene de una reversión inmediata del superávit, sino de una erosión gradual de ingresos que obligue a profundizar el ajuste para preservar la meta comprometida.</w:t>
      </w:r>
    </w:p>
    <w:p w14:paraId="6643BE0E" w14:textId="77777777" w:rsidR="003756E4" w:rsidRDefault="003756E4">
      <w:pPr>
        <w:pBdr>
          <w:bottom w:val="single" w:sz="8" w:space="1" w:color="0D9488"/>
        </w:pBdr>
        <w:spacing w:before="80" w:after="80"/>
      </w:pPr>
    </w:p>
    <w:p w14:paraId="4FDEFADF" w14:textId="77777777" w:rsidR="003756E4" w:rsidRDefault="00000000">
      <w:r>
        <w:lastRenderedPageBreak/>
        <w:br w:type="page"/>
      </w:r>
    </w:p>
    <w:p w14:paraId="384B2A68" w14:textId="77777777" w:rsidR="003756E4" w:rsidRDefault="00000000">
      <w:pPr>
        <w:pStyle w:val="Ttulo1"/>
        <w:pBdr>
          <w:bottom w:val="single" w:sz="6" w:space="4" w:color="C9A84C"/>
        </w:pBdr>
        <w:spacing w:after="100"/>
      </w:pPr>
      <w:r>
        <w:lastRenderedPageBreak/>
        <w:t>6. Cuadro de Proyecciones Consolidado</w:t>
      </w:r>
    </w:p>
    <w:p w14:paraId="3DEEC0A4" w14:textId="77777777" w:rsidR="004F7416" w:rsidRDefault="004F7416">
      <w:pPr>
        <w:spacing w:before="60" w:after="60" w:line="276" w:lineRule="auto"/>
        <w:jc w:val="both"/>
      </w:pPr>
      <w:r>
        <w:t xml:space="preserve">El cuadro siguiente sintetiza las principales proyecciones del Equipo </w:t>
      </w:r>
      <w:proofErr w:type="spellStart"/>
      <w:r>
        <w:t>MacroLibre</w:t>
      </w:r>
      <w:proofErr w:type="spellEnd"/>
      <w:r>
        <w:t xml:space="preserve"> para los horizontes más relevantes del REM-BCRA. Los valores se presentan como rangos para reflejar la incertidumbre propia del contexto macroeconómico argentino y deben interpretarse como un escenario base sujeto a revisión mensual. Más que una fotografía cerrada, este cuadro resume la trayectoria esperada de cada variable bajo los supuestos macroeconómicos desarrollados a lo largo del informe.</w:t>
      </w:r>
    </w:p>
    <w:p w14:paraId="35186581" w14:textId="77777777" w:rsidR="003756E4" w:rsidRDefault="003756E4"/>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400"/>
        <w:gridCol w:w="1350"/>
        <w:gridCol w:w="1350"/>
        <w:gridCol w:w="1350"/>
        <w:gridCol w:w="1400"/>
        <w:gridCol w:w="1200"/>
      </w:tblGrid>
      <w:tr w:rsidR="003756E4" w14:paraId="18EA6DDC" w14:textId="77777777">
        <w:tblPrEx>
          <w:tblCellMar>
            <w:top w:w="0" w:type="dxa"/>
            <w:bottom w:w="0" w:type="dxa"/>
          </w:tblCellMar>
        </w:tblPrEx>
        <w:trPr>
          <w:tblHeader/>
        </w:trPr>
        <w:tc>
          <w:tcPr>
            <w:tcW w:w="21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03FAC2C9" w14:textId="77777777" w:rsidR="003756E4" w:rsidRDefault="00000000">
            <w:pPr>
              <w:jc w:val="center"/>
            </w:pPr>
            <w:r>
              <w:rPr>
                <w:b/>
                <w:bCs/>
                <w:color w:val="FFFFFF"/>
                <w:sz w:val="19"/>
                <w:szCs w:val="19"/>
              </w:rPr>
              <w:t>Variable</w:t>
            </w:r>
          </w:p>
        </w:tc>
        <w:tc>
          <w:tcPr>
            <w:tcW w:w="14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460F3FFB" w14:textId="77777777" w:rsidR="003756E4" w:rsidRDefault="00000000">
            <w:pPr>
              <w:jc w:val="center"/>
            </w:pPr>
            <w:r>
              <w:rPr>
                <w:b/>
                <w:bCs/>
                <w:color w:val="FFFFFF"/>
                <w:sz w:val="19"/>
                <w:szCs w:val="19"/>
              </w:rPr>
              <w:t>Unidad</w:t>
            </w:r>
          </w:p>
        </w:tc>
        <w:tc>
          <w:tcPr>
            <w:tcW w:w="135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52166B68" w14:textId="77777777" w:rsidR="003756E4" w:rsidRDefault="00000000">
            <w:pPr>
              <w:jc w:val="center"/>
            </w:pPr>
            <w:r>
              <w:rPr>
                <w:b/>
                <w:bCs/>
                <w:color w:val="FFFFFF"/>
                <w:sz w:val="19"/>
                <w:szCs w:val="19"/>
              </w:rPr>
              <w:t>M+1 (mayo)</w:t>
            </w:r>
          </w:p>
        </w:tc>
        <w:tc>
          <w:tcPr>
            <w:tcW w:w="135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41234BD9" w14:textId="77777777" w:rsidR="003756E4" w:rsidRDefault="00000000">
            <w:pPr>
              <w:jc w:val="center"/>
            </w:pPr>
            <w:r>
              <w:rPr>
                <w:b/>
                <w:bCs/>
                <w:color w:val="FFFFFF"/>
                <w:sz w:val="19"/>
                <w:szCs w:val="19"/>
              </w:rPr>
              <w:t>M+3 (jul.)</w:t>
            </w:r>
          </w:p>
        </w:tc>
        <w:tc>
          <w:tcPr>
            <w:tcW w:w="135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0221A039" w14:textId="77777777" w:rsidR="003756E4" w:rsidRDefault="00000000">
            <w:pPr>
              <w:jc w:val="center"/>
            </w:pPr>
            <w:r>
              <w:rPr>
                <w:b/>
                <w:bCs/>
                <w:color w:val="FFFFFF"/>
                <w:sz w:val="19"/>
                <w:szCs w:val="19"/>
              </w:rPr>
              <w:t>M+6 (oct.)</w:t>
            </w:r>
          </w:p>
        </w:tc>
        <w:tc>
          <w:tcPr>
            <w:tcW w:w="14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5F0C5CC2" w14:textId="77777777" w:rsidR="003756E4" w:rsidRDefault="00000000">
            <w:pPr>
              <w:jc w:val="center"/>
            </w:pPr>
            <w:r>
              <w:rPr>
                <w:b/>
                <w:bCs/>
                <w:color w:val="FFFFFF"/>
                <w:sz w:val="19"/>
                <w:szCs w:val="19"/>
              </w:rPr>
              <w:t>Año 2026</w:t>
            </w:r>
          </w:p>
        </w:tc>
        <w:tc>
          <w:tcPr>
            <w:tcW w:w="1200" w:type="dxa"/>
            <w:tcBorders>
              <w:top w:val="single" w:sz="1" w:space="0" w:color="1E3A5F"/>
              <w:left w:val="single" w:sz="1" w:space="0" w:color="1E3A5F"/>
              <w:bottom w:val="single" w:sz="1" w:space="0" w:color="1E3A5F"/>
              <w:right w:val="single" w:sz="1" w:space="0" w:color="1E3A5F"/>
            </w:tcBorders>
            <w:shd w:val="clear" w:color="auto" w:fill="0A0E17"/>
            <w:tcMar>
              <w:top w:w="80" w:type="dxa"/>
              <w:left w:w="120" w:type="dxa"/>
              <w:bottom w:w="80" w:type="dxa"/>
              <w:right w:w="120" w:type="dxa"/>
            </w:tcMar>
          </w:tcPr>
          <w:p w14:paraId="784F6534" w14:textId="77777777" w:rsidR="003756E4" w:rsidRDefault="00000000">
            <w:pPr>
              <w:jc w:val="center"/>
            </w:pPr>
            <w:r>
              <w:rPr>
                <w:b/>
                <w:bCs/>
                <w:color w:val="FFFFFF"/>
                <w:sz w:val="19"/>
                <w:szCs w:val="19"/>
              </w:rPr>
              <w:t>Año 2027</w:t>
            </w:r>
          </w:p>
        </w:tc>
      </w:tr>
      <w:tr w:rsidR="003756E4" w14:paraId="34AC2EDB" w14:textId="77777777">
        <w:tblPrEx>
          <w:tblCellMar>
            <w:top w:w="0" w:type="dxa"/>
            <w:bottom w:w="0" w:type="dxa"/>
          </w:tblCellMar>
        </w:tblPrEx>
        <w:tc>
          <w:tcPr>
            <w:tcW w:w="21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74854F09" w14:textId="77777777" w:rsidR="003756E4" w:rsidRDefault="00000000">
            <w:r>
              <w:rPr>
                <w:sz w:val="19"/>
                <w:szCs w:val="19"/>
              </w:rPr>
              <w:t>IPC General</w:t>
            </w:r>
          </w:p>
        </w:tc>
        <w:tc>
          <w:tcPr>
            <w:tcW w:w="14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3935FC5D" w14:textId="77777777" w:rsidR="003756E4" w:rsidRDefault="00000000">
            <w:pPr>
              <w:jc w:val="center"/>
            </w:pPr>
            <w:r>
              <w:rPr>
                <w:sz w:val="19"/>
                <w:szCs w:val="19"/>
              </w:rPr>
              <w:t>% mensual</w:t>
            </w:r>
          </w:p>
        </w:tc>
        <w:tc>
          <w:tcPr>
            <w:tcW w:w="135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671F4B6F" w14:textId="77777777" w:rsidR="003756E4" w:rsidRDefault="00000000">
            <w:pPr>
              <w:jc w:val="center"/>
            </w:pPr>
            <w:r>
              <w:rPr>
                <w:sz w:val="19"/>
                <w:szCs w:val="19"/>
              </w:rPr>
              <w:t>2,0-2,4</w:t>
            </w:r>
          </w:p>
        </w:tc>
        <w:tc>
          <w:tcPr>
            <w:tcW w:w="135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369DBE63" w14:textId="77777777" w:rsidR="003756E4" w:rsidRDefault="00000000">
            <w:pPr>
              <w:jc w:val="center"/>
            </w:pPr>
            <w:r>
              <w:rPr>
                <w:sz w:val="19"/>
                <w:szCs w:val="19"/>
              </w:rPr>
              <w:t>2,0-2,5</w:t>
            </w:r>
          </w:p>
        </w:tc>
        <w:tc>
          <w:tcPr>
            <w:tcW w:w="135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5C9DA65E" w14:textId="77777777" w:rsidR="003756E4" w:rsidRDefault="00000000">
            <w:pPr>
              <w:jc w:val="center"/>
            </w:pPr>
            <w:r>
              <w:rPr>
                <w:sz w:val="19"/>
                <w:szCs w:val="19"/>
              </w:rPr>
              <w:t>1,9-2,3</w:t>
            </w:r>
          </w:p>
        </w:tc>
        <w:tc>
          <w:tcPr>
            <w:tcW w:w="14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27044C27" w14:textId="77777777" w:rsidR="003756E4" w:rsidRDefault="00000000">
            <w:pPr>
              <w:jc w:val="center"/>
            </w:pPr>
            <w:r>
              <w:rPr>
                <w:sz w:val="19"/>
                <w:szCs w:val="19"/>
              </w:rPr>
              <w:t>27-30% ac.</w:t>
            </w:r>
          </w:p>
        </w:tc>
        <w:tc>
          <w:tcPr>
            <w:tcW w:w="12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6AEA2C23" w14:textId="77777777" w:rsidR="003756E4" w:rsidRDefault="00000000">
            <w:pPr>
              <w:jc w:val="center"/>
            </w:pPr>
            <w:r>
              <w:rPr>
                <w:sz w:val="19"/>
                <w:szCs w:val="19"/>
              </w:rPr>
              <w:t>18-22% ac.</w:t>
            </w:r>
          </w:p>
        </w:tc>
      </w:tr>
      <w:tr w:rsidR="003756E4" w14:paraId="1477EE9E" w14:textId="77777777">
        <w:tblPrEx>
          <w:tblCellMar>
            <w:top w:w="0" w:type="dxa"/>
            <w:bottom w:w="0" w:type="dxa"/>
          </w:tblCellMar>
        </w:tblPrEx>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4C8E5004" w14:textId="77777777" w:rsidR="003756E4" w:rsidRDefault="00000000">
            <w:r>
              <w:rPr>
                <w:sz w:val="19"/>
                <w:szCs w:val="19"/>
              </w:rPr>
              <w:t>IPC Núcleo</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0AA075BC" w14:textId="77777777" w:rsidR="003756E4" w:rsidRDefault="00000000">
            <w:pPr>
              <w:jc w:val="center"/>
            </w:pPr>
            <w:r>
              <w:rPr>
                <w:sz w:val="19"/>
                <w:szCs w:val="19"/>
              </w:rPr>
              <w:t>% mensual</w:t>
            </w:r>
          </w:p>
        </w:tc>
        <w:tc>
          <w:tcPr>
            <w:tcW w:w="135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48D15D53" w14:textId="77777777" w:rsidR="003756E4" w:rsidRDefault="00000000">
            <w:pPr>
              <w:jc w:val="center"/>
            </w:pPr>
            <w:r>
              <w:rPr>
                <w:sz w:val="19"/>
                <w:szCs w:val="19"/>
              </w:rPr>
              <w:t>1,9-2,2</w:t>
            </w:r>
          </w:p>
        </w:tc>
        <w:tc>
          <w:tcPr>
            <w:tcW w:w="135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22F6238D" w14:textId="77777777" w:rsidR="003756E4" w:rsidRDefault="00000000">
            <w:pPr>
              <w:jc w:val="center"/>
            </w:pPr>
            <w:r>
              <w:rPr>
                <w:sz w:val="19"/>
                <w:szCs w:val="19"/>
              </w:rPr>
              <w:t>1,9-2,3</w:t>
            </w:r>
          </w:p>
        </w:tc>
        <w:tc>
          <w:tcPr>
            <w:tcW w:w="135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57BEAF5D" w14:textId="77777777" w:rsidR="003756E4" w:rsidRDefault="00000000">
            <w:pPr>
              <w:jc w:val="center"/>
            </w:pPr>
            <w:r>
              <w:rPr>
                <w:sz w:val="19"/>
                <w:szCs w:val="19"/>
              </w:rPr>
              <w:t>1,8-2,2</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495A6624" w14:textId="77777777" w:rsidR="003756E4" w:rsidRDefault="00000000">
            <w:pPr>
              <w:jc w:val="center"/>
            </w:pPr>
            <w:r>
              <w:rPr>
                <w:sz w:val="19"/>
                <w:szCs w:val="19"/>
              </w:rPr>
              <w:t>26-28% ac.</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2C0D4760" w14:textId="77777777" w:rsidR="003756E4" w:rsidRDefault="00000000">
            <w:pPr>
              <w:jc w:val="center"/>
            </w:pPr>
            <w:r>
              <w:rPr>
                <w:sz w:val="19"/>
                <w:szCs w:val="19"/>
              </w:rPr>
              <w:t>17-20% ac.</w:t>
            </w:r>
          </w:p>
        </w:tc>
      </w:tr>
      <w:tr w:rsidR="003756E4" w14:paraId="78619A13" w14:textId="77777777">
        <w:tblPrEx>
          <w:tblCellMar>
            <w:top w:w="0" w:type="dxa"/>
            <w:bottom w:w="0" w:type="dxa"/>
          </w:tblCellMar>
        </w:tblPrEx>
        <w:tc>
          <w:tcPr>
            <w:tcW w:w="21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5809D47A" w14:textId="77777777" w:rsidR="003756E4" w:rsidRDefault="00000000">
            <w:r>
              <w:rPr>
                <w:sz w:val="19"/>
                <w:szCs w:val="19"/>
              </w:rPr>
              <w:t>TC Mayorista</w:t>
            </w:r>
          </w:p>
        </w:tc>
        <w:tc>
          <w:tcPr>
            <w:tcW w:w="14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0C292530" w14:textId="77777777" w:rsidR="003756E4" w:rsidRDefault="00000000">
            <w:pPr>
              <w:jc w:val="center"/>
            </w:pPr>
            <w:r>
              <w:rPr>
                <w:sz w:val="19"/>
                <w:szCs w:val="19"/>
              </w:rPr>
              <w:t>$/USD cierre</w:t>
            </w:r>
          </w:p>
        </w:tc>
        <w:tc>
          <w:tcPr>
            <w:tcW w:w="135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21846640" w14:textId="77777777" w:rsidR="003756E4" w:rsidRDefault="00000000">
            <w:pPr>
              <w:jc w:val="center"/>
            </w:pPr>
            <w:r>
              <w:rPr>
                <w:sz w:val="19"/>
                <w:szCs w:val="19"/>
              </w:rPr>
              <w:t>1.380-1.400</w:t>
            </w:r>
          </w:p>
        </w:tc>
        <w:tc>
          <w:tcPr>
            <w:tcW w:w="135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6F53677C" w14:textId="77777777" w:rsidR="003756E4" w:rsidRDefault="00000000">
            <w:pPr>
              <w:jc w:val="center"/>
            </w:pPr>
            <w:r>
              <w:rPr>
                <w:sz w:val="19"/>
                <w:szCs w:val="19"/>
              </w:rPr>
              <w:t>1.400-1.440</w:t>
            </w:r>
          </w:p>
        </w:tc>
        <w:tc>
          <w:tcPr>
            <w:tcW w:w="135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6DB5EFC3" w14:textId="77777777" w:rsidR="003756E4" w:rsidRDefault="00000000">
            <w:pPr>
              <w:jc w:val="center"/>
            </w:pPr>
            <w:r>
              <w:rPr>
                <w:sz w:val="19"/>
                <w:szCs w:val="19"/>
              </w:rPr>
              <w:t>1.470-1.530</w:t>
            </w:r>
          </w:p>
        </w:tc>
        <w:tc>
          <w:tcPr>
            <w:tcW w:w="14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77BC0572" w14:textId="77777777" w:rsidR="003756E4" w:rsidRDefault="00000000">
            <w:pPr>
              <w:jc w:val="center"/>
            </w:pPr>
            <w:r>
              <w:rPr>
                <w:sz w:val="19"/>
                <w:szCs w:val="19"/>
              </w:rPr>
              <w:t>1.550-1.650</w:t>
            </w:r>
          </w:p>
        </w:tc>
        <w:tc>
          <w:tcPr>
            <w:tcW w:w="12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0329DF21" w14:textId="77777777" w:rsidR="003756E4" w:rsidRDefault="00000000">
            <w:pPr>
              <w:jc w:val="center"/>
            </w:pPr>
            <w:r>
              <w:rPr>
                <w:sz w:val="19"/>
                <w:szCs w:val="19"/>
              </w:rPr>
              <w:t>n/d</w:t>
            </w:r>
          </w:p>
        </w:tc>
      </w:tr>
      <w:tr w:rsidR="003756E4" w14:paraId="569045DB" w14:textId="77777777">
        <w:tblPrEx>
          <w:tblCellMar>
            <w:top w:w="0" w:type="dxa"/>
            <w:bottom w:w="0" w:type="dxa"/>
          </w:tblCellMar>
        </w:tblPrEx>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5360C7BC" w14:textId="77777777" w:rsidR="003756E4" w:rsidRDefault="00000000">
            <w:r>
              <w:rPr>
                <w:sz w:val="19"/>
                <w:szCs w:val="19"/>
              </w:rPr>
              <w:t>PBI Real</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42DB5961" w14:textId="77777777" w:rsidR="003756E4" w:rsidRDefault="00000000">
            <w:pPr>
              <w:jc w:val="center"/>
            </w:pPr>
            <w:r>
              <w:rPr>
                <w:sz w:val="19"/>
                <w:szCs w:val="19"/>
              </w:rPr>
              <w:t xml:space="preserve">% </w:t>
            </w:r>
            <w:proofErr w:type="spellStart"/>
            <w:r>
              <w:rPr>
                <w:sz w:val="19"/>
                <w:szCs w:val="19"/>
              </w:rPr>
              <w:t>trim</w:t>
            </w:r>
            <w:proofErr w:type="spellEnd"/>
            <w:r>
              <w:rPr>
                <w:sz w:val="19"/>
                <w:szCs w:val="19"/>
              </w:rPr>
              <w:t xml:space="preserve">. </w:t>
            </w:r>
            <w:proofErr w:type="spellStart"/>
            <w:r>
              <w:rPr>
                <w:sz w:val="19"/>
                <w:szCs w:val="19"/>
              </w:rPr>
              <w:t>desest</w:t>
            </w:r>
            <w:proofErr w:type="spellEnd"/>
            <w:r>
              <w:rPr>
                <w:sz w:val="19"/>
                <w:szCs w:val="19"/>
              </w:rPr>
              <w:t>.</w:t>
            </w:r>
          </w:p>
        </w:tc>
        <w:tc>
          <w:tcPr>
            <w:tcW w:w="135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7400AF28" w14:textId="77777777" w:rsidR="003756E4" w:rsidRDefault="00000000">
            <w:pPr>
              <w:jc w:val="center"/>
            </w:pPr>
            <w:r>
              <w:rPr>
                <w:sz w:val="19"/>
                <w:szCs w:val="19"/>
              </w:rPr>
              <w:t>+1,0-1,5</w:t>
            </w:r>
          </w:p>
        </w:tc>
        <w:tc>
          <w:tcPr>
            <w:tcW w:w="135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594C9853" w14:textId="77777777" w:rsidR="003756E4" w:rsidRDefault="00000000">
            <w:pPr>
              <w:jc w:val="center"/>
            </w:pPr>
            <w:r>
              <w:rPr>
                <w:sz w:val="19"/>
                <w:szCs w:val="19"/>
              </w:rPr>
              <w:t>+0,8-1,2</w:t>
            </w:r>
          </w:p>
        </w:tc>
        <w:tc>
          <w:tcPr>
            <w:tcW w:w="135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6A7C9FA9" w14:textId="77777777" w:rsidR="003756E4" w:rsidRDefault="00000000">
            <w:pPr>
              <w:jc w:val="center"/>
            </w:pPr>
            <w:r>
              <w:rPr>
                <w:sz w:val="19"/>
                <w:szCs w:val="19"/>
              </w:rPr>
              <w:t>+0,5-1,0</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4A060BBB" w14:textId="77777777" w:rsidR="003756E4" w:rsidRDefault="00000000">
            <w:pPr>
              <w:jc w:val="center"/>
            </w:pPr>
            <w:r>
              <w:rPr>
                <w:sz w:val="19"/>
                <w:szCs w:val="19"/>
              </w:rPr>
              <w:t>+4,5-5,0</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64FCF001" w14:textId="77777777" w:rsidR="003756E4" w:rsidRDefault="00000000">
            <w:pPr>
              <w:jc w:val="center"/>
            </w:pPr>
            <w:r>
              <w:rPr>
                <w:sz w:val="19"/>
                <w:szCs w:val="19"/>
              </w:rPr>
              <w:t>+3,0-4,0</w:t>
            </w:r>
          </w:p>
        </w:tc>
      </w:tr>
      <w:tr w:rsidR="003756E4" w14:paraId="2724E684" w14:textId="77777777">
        <w:tblPrEx>
          <w:tblCellMar>
            <w:top w:w="0" w:type="dxa"/>
            <w:bottom w:w="0" w:type="dxa"/>
          </w:tblCellMar>
        </w:tblPrEx>
        <w:tc>
          <w:tcPr>
            <w:tcW w:w="21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77D4C72F" w14:textId="77777777" w:rsidR="003756E4" w:rsidRDefault="00000000">
            <w:r>
              <w:rPr>
                <w:sz w:val="19"/>
                <w:szCs w:val="19"/>
              </w:rPr>
              <w:t>Res. Primario</w:t>
            </w:r>
          </w:p>
        </w:tc>
        <w:tc>
          <w:tcPr>
            <w:tcW w:w="14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38EA541B" w14:textId="77777777" w:rsidR="003756E4" w:rsidRDefault="00000000">
            <w:pPr>
              <w:jc w:val="center"/>
            </w:pPr>
            <w:r>
              <w:rPr>
                <w:sz w:val="19"/>
                <w:szCs w:val="19"/>
              </w:rPr>
              <w:t>% del PBI</w:t>
            </w:r>
          </w:p>
        </w:tc>
        <w:tc>
          <w:tcPr>
            <w:tcW w:w="135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10A9575E" w14:textId="77777777" w:rsidR="003756E4" w:rsidRDefault="00000000">
            <w:pPr>
              <w:jc w:val="center"/>
            </w:pPr>
            <w:r>
              <w:rPr>
                <w:sz w:val="19"/>
                <w:szCs w:val="19"/>
              </w:rPr>
              <w:t>n/d</w:t>
            </w:r>
          </w:p>
        </w:tc>
        <w:tc>
          <w:tcPr>
            <w:tcW w:w="135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4B897688" w14:textId="77777777" w:rsidR="003756E4" w:rsidRDefault="00000000">
            <w:pPr>
              <w:jc w:val="center"/>
            </w:pPr>
            <w:r>
              <w:rPr>
                <w:sz w:val="19"/>
                <w:szCs w:val="19"/>
              </w:rPr>
              <w:t>n/d</w:t>
            </w:r>
          </w:p>
        </w:tc>
        <w:tc>
          <w:tcPr>
            <w:tcW w:w="135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739520E3" w14:textId="77777777" w:rsidR="003756E4" w:rsidRDefault="00000000">
            <w:pPr>
              <w:jc w:val="center"/>
            </w:pPr>
            <w:r>
              <w:rPr>
                <w:sz w:val="19"/>
                <w:szCs w:val="19"/>
              </w:rPr>
              <w:t>n/d</w:t>
            </w:r>
          </w:p>
        </w:tc>
        <w:tc>
          <w:tcPr>
            <w:tcW w:w="14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3B1B8A5E" w14:textId="77777777" w:rsidR="003756E4" w:rsidRDefault="00000000">
            <w:pPr>
              <w:jc w:val="center"/>
            </w:pPr>
            <w:r>
              <w:rPr>
                <w:sz w:val="19"/>
                <w:szCs w:val="19"/>
              </w:rPr>
              <w:t>1,2-1,5%</w:t>
            </w:r>
          </w:p>
        </w:tc>
        <w:tc>
          <w:tcPr>
            <w:tcW w:w="12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2A981330" w14:textId="77777777" w:rsidR="003756E4" w:rsidRDefault="00000000">
            <w:pPr>
              <w:jc w:val="center"/>
            </w:pPr>
            <w:r>
              <w:rPr>
                <w:sz w:val="19"/>
                <w:szCs w:val="19"/>
              </w:rPr>
              <w:t>1,3-1,6%</w:t>
            </w:r>
          </w:p>
        </w:tc>
      </w:tr>
      <w:tr w:rsidR="003756E4" w14:paraId="10482744" w14:textId="77777777">
        <w:tblPrEx>
          <w:tblCellMar>
            <w:top w:w="0" w:type="dxa"/>
            <w:bottom w:w="0" w:type="dxa"/>
          </w:tblCellMar>
        </w:tblPrEx>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4DAC13C5" w14:textId="77777777" w:rsidR="003756E4" w:rsidRDefault="00000000">
            <w:r>
              <w:rPr>
                <w:sz w:val="19"/>
                <w:szCs w:val="19"/>
              </w:rPr>
              <w:t>Desocupación</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5D7F40C9" w14:textId="77777777" w:rsidR="003756E4" w:rsidRDefault="00000000">
            <w:pPr>
              <w:jc w:val="center"/>
            </w:pPr>
            <w:r>
              <w:rPr>
                <w:sz w:val="19"/>
                <w:szCs w:val="19"/>
              </w:rPr>
              <w:t>% PEA (</w:t>
            </w:r>
            <w:proofErr w:type="spellStart"/>
            <w:r>
              <w:rPr>
                <w:sz w:val="19"/>
                <w:szCs w:val="19"/>
              </w:rPr>
              <w:t>trim</w:t>
            </w:r>
            <w:proofErr w:type="spellEnd"/>
            <w:r>
              <w:rPr>
                <w:sz w:val="19"/>
                <w:szCs w:val="19"/>
              </w:rPr>
              <w:t>.)</w:t>
            </w:r>
          </w:p>
        </w:tc>
        <w:tc>
          <w:tcPr>
            <w:tcW w:w="135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75E53F26" w14:textId="77777777" w:rsidR="003756E4" w:rsidRDefault="00000000">
            <w:pPr>
              <w:jc w:val="center"/>
            </w:pPr>
            <w:r>
              <w:rPr>
                <w:sz w:val="19"/>
                <w:szCs w:val="19"/>
              </w:rPr>
              <w:t>n/d</w:t>
            </w:r>
          </w:p>
        </w:tc>
        <w:tc>
          <w:tcPr>
            <w:tcW w:w="135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76B496BA" w14:textId="77777777" w:rsidR="003756E4" w:rsidRDefault="00000000">
            <w:pPr>
              <w:jc w:val="center"/>
            </w:pPr>
            <w:r>
              <w:rPr>
                <w:sz w:val="19"/>
                <w:szCs w:val="19"/>
              </w:rPr>
              <w:t>6,5-7,0%</w:t>
            </w:r>
          </w:p>
        </w:tc>
        <w:tc>
          <w:tcPr>
            <w:tcW w:w="135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09075C94" w14:textId="77777777" w:rsidR="003756E4" w:rsidRDefault="00000000">
            <w:pPr>
              <w:jc w:val="center"/>
            </w:pPr>
            <w:r>
              <w:rPr>
                <w:sz w:val="19"/>
                <w:szCs w:val="19"/>
              </w:rPr>
              <w:t>6,2-6,8%</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7A7748BE" w14:textId="77777777" w:rsidR="003756E4" w:rsidRDefault="00000000">
            <w:pPr>
              <w:jc w:val="center"/>
            </w:pPr>
            <w:r>
              <w:rPr>
                <w:sz w:val="19"/>
                <w:szCs w:val="19"/>
              </w:rPr>
              <w:t>6,0-6,5%</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4D2E9CF4" w14:textId="77777777" w:rsidR="003756E4" w:rsidRDefault="00000000">
            <w:pPr>
              <w:jc w:val="center"/>
            </w:pPr>
            <w:r>
              <w:rPr>
                <w:sz w:val="19"/>
                <w:szCs w:val="19"/>
              </w:rPr>
              <w:t>5,8-6,2%</w:t>
            </w:r>
          </w:p>
        </w:tc>
      </w:tr>
      <w:tr w:rsidR="003756E4" w14:paraId="0883A4AD" w14:textId="77777777">
        <w:tblPrEx>
          <w:tblCellMar>
            <w:top w:w="0" w:type="dxa"/>
            <w:bottom w:w="0" w:type="dxa"/>
          </w:tblCellMar>
        </w:tblPrEx>
        <w:tc>
          <w:tcPr>
            <w:tcW w:w="21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3B172163" w14:textId="77777777" w:rsidR="003756E4" w:rsidRDefault="00000000">
            <w:proofErr w:type="spellStart"/>
            <w:r>
              <w:rPr>
                <w:sz w:val="19"/>
                <w:szCs w:val="19"/>
              </w:rPr>
              <w:t>Export</w:t>
            </w:r>
            <w:proofErr w:type="spellEnd"/>
            <w:r>
              <w:rPr>
                <w:sz w:val="19"/>
                <w:szCs w:val="19"/>
              </w:rPr>
              <w:t>. FOB</w:t>
            </w:r>
          </w:p>
        </w:tc>
        <w:tc>
          <w:tcPr>
            <w:tcW w:w="14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0168A9F6" w14:textId="77777777" w:rsidR="003756E4" w:rsidRDefault="00000000">
            <w:pPr>
              <w:jc w:val="center"/>
            </w:pPr>
            <w:r>
              <w:rPr>
                <w:sz w:val="19"/>
                <w:szCs w:val="19"/>
              </w:rPr>
              <w:t>Mill. USD</w:t>
            </w:r>
          </w:p>
        </w:tc>
        <w:tc>
          <w:tcPr>
            <w:tcW w:w="135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274CF16D" w14:textId="77777777" w:rsidR="003756E4" w:rsidRDefault="00000000">
            <w:pPr>
              <w:jc w:val="center"/>
            </w:pPr>
            <w:r>
              <w:rPr>
                <w:sz w:val="19"/>
                <w:szCs w:val="19"/>
              </w:rPr>
              <w:t>7.800-8.400</w:t>
            </w:r>
          </w:p>
        </w:tc>
        <w:tc>
          <w:tcPr>
            <w:tcW w:w="135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4DD698C5" w14:textId="77777777" w:rsidR="003756E4" w:rsidRDefault="00000000">
            <w:pPr>
              <w:jc w:val="center"/>
            </w:pPr>
            <w:r>
              <w:rPr>
                <w:sz w:val="19"/>
                <w:szCs w:val="19"/>
              </w:rPr>
              <w:t>7.200-7.800</w:t>
            </w:r>
          </w:p>
        </w:tc>
        <w:tc>
          <w:tcPr>
            <w:tcW w:w="135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3CAFAF6C" w14:textId="77777777" w:rsidR="003756E4" w:rsidRDefault="00000000">
            <w:pPr>
              <w:jc w:val="center"/>
            </w:pPr>
            <w:r>
              <w:rPr>
                <w:sz w:val="19"/>
                <w:szCs w:val="19"/>
              </w:rPr>
              <w:t>6.500-7.200</w:t>
            </w:r>
          </w:p>
        </w:tc>
        <w:tc>
          <w:tcPr>
            <w:tcW w:w="14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3AE988F8" w14:textId="77777777" w:rsidR="003756E4" w:rsidRDefault="00000000">
            <w:pPr>
              <w:jc w:val="center"/>
            </w:pPr>
            <w:r>
              <w:rPr>
                <w:sz w:val="19"/>
                <w:szCs w:val="19"/>
              </w:rPr>
              <w:t>~95.000</w:t>
            </w:r>
          </w:p>
        </w:tc>
        <w:tc>
          <w:tcPr>
            <w:tcW w:w="1200" w:type="dxa"/>
            <w:tcBorders>
              <w:top w:val="single" w:sz="1" w:space="0" w:color="DDDDDD"/>
              <w:left w:val="single" w:sz="1" w:space="0" w:color="DDDDDD"/>
              <w:bottom w:val="single" w:sz="1" w:space="0" w:color="DDDDDD"/>
              <w:right w:val="single" w:sz="1" w:space="0" w:color="DDDDDD"/>
            </w:tcBorders>
            <w:shd w:val="clear" w:color="auto" w:fill="E8F4F8"/>
            <w:tcMar>
              <w:top w:w="70" w:type="dxa"/>
              <w:left w:w="120" w:type="dxa"/>
              <w:bottom w:w="70" w:type="dxa"/>
              <w:right w:w="120" w:type="dxa"/>
            </w:tcMar>
          </w:tcPr>
          <w:p w14:paraId="2C38578E" w14:textId="77777777" w:rsidR="003756E4" w:rsidRDefault="00000000">
            <w:pPr>
              <w:jc w:val="center"/>
            </w:pPr>
            <w:r>
              <w:rPr>
                <w:sz w:val="19"/>
                <w:szCs w:val="19"/>
              </w:rPr>
              <w:t>n/d</w:t>
            </w:r>
          </w:p>
        </w:tc>
      </w:tr>
      <w:tr w:rsidR="003756E4" w14:paraId="005D8670" w14:textId="77777777">
        <w:tblPrEx>
          <w:tblCellMar>
            <w:top w:w="0" w:type="dxa"/>
            <w:bottom w:w="0" w:type="dxa"/>
          </w:tblCellMar>
        </w:tblPrEx>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3D513C44" w14:textId="77777777" w:rsidR="003756E4" w:rsidRDefault="00000000">
            <w:proofErr w:type="spellStart"/>
            <w:r>
              <w:rPr>
                <w:sz w:val="19"/>
                <w:szCs w:val="19"/>
              </w:rPr>
              <w:t>Import</w:t>
            </w:r>
            <w:proofErr w:type="spellEnd"/>
            <w:r>
              <w:rPr>
                <w:sz w:val="19"/>
                <w:szCs w:val="19"/>
              </w:rPr>
              <w:t>. CIF</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7081D81D" w14:textId="77777777" w:rsidR="003756E4" w:rsidRDefault="00000000">
            <w:pPr>
              <w:jc w:val="center"/>
            </w:pPr>
            <w:r>
              <w:rPr>
                <w:sz w:val="19"/>
                <w:szCs w:val="19"/>
              </w:rPr>
              <w:t>Mill. USD</w:t>
            </w:r>
          </w:p>
        </w:tc>
        <w:tc>
          <w:tcPr>
            <w:tcW w:w="135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404CC174" w14:textId="77777777" w:rsidR="003756E4" w:rsidRDefault="00000000">
            <w:pPr>
              <w:jc w:val="center"/>
            </w:pPr>
            <w:r>
              <w:rPr>
                <w:sz w:val="19"/>
                <w:szCs w:val="19"/>
              </w:rPr>
              <w:t>6.200-6.600</w:t>
            </w:r>
          </w:p>
        </w:tc>
        <w:tc>
          <w:tcPr>
            <w:tcW w:w="135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5BA64ECA" w14:textId="77777777" w:rsidR="003756E4" w:rsidRDefault="00000000">
            <w:pPr>
              <w:jc w:val="center"/>
            </w:pPr>
            <w:r>
              <w:rPr>
                <w:sz w:val="19"/>
                <w:szCs w:val="19"/>
              </w:rPr>
              <w:t>6.400-6.800</w:t>
            </w:r>
          </w:p>
        </w:tc>
        <w:tc>
          <w:tcPr>
            <w:tcW w:w="135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16297872" w14:textId="77777777" w:rsidR="003756E4" w:rsidRDefault="00000000">
            <w:pPr>
              <w:jc w:val="center"/>
            </w:pPr>
            <w:r>
              <w:rPr>
                <w:sz w:val="19"/>
                <w:szCs w:val="19"/>
              </w:rPr>
              <w:t>6.500-7.000</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4FFE77D1" w14:textId="77777777" w:rsidR="003756E4" w:rsidRDefault="00000000">
            <w:pPr>
              <w:jc w:val="center"/>
            </w:pPr>
            <w:r>
              <w:rPr>
                <w:sz w:val="19"/>
                <w:szCs w:val="19"/>
              </w:rPr>
              <w:t>~76.000</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70" w:type="dxa"/>
              <w:left w:w="120" w:type="dxa"/>
              <w:bottom w:w="70" w:type="dxa"/>
              <w:right w:w="120" w:type="dxa"/>
            </w:tcMar>
          </w:tcPr>
          <w:p w14:paraId="704774EC" w14:textId="77777777" w:rsidR="003756E4" w:rsidRDefault="00000000">
            <w:pPr>
              <w:jc w:val="center"/>
            </w:pPr>
            <w:r>
              <w:rPr>
                <w:sz w:val="19"/>
                <w:szCs w:val="19"/>
              </w:rPr>
              <w:t>n/d</w:t>
            </w:r>
          </w:p>
        </w:tc>
      </w:tr>
    </w:tbl>
    <w:p w14:paraId="1EFB1E2D" w14:textId="77777777" w:rsidR="003756E4" w:rsidRDefault="003756E4"/>
    <w:p w14:paraId="615CB4C3" w14:textId="77777777" w:rsidR="004F7416" w:rsidRDefault="004F7416">
      <w:pPr>
        <w:spacing w:before="60" w:after="60" w:line="276" w:lineRule="auto"/>
        <w:jc w:val="both"/>
      </w:pPr>
      <w:r>
        <w:rPr>
          <w:color w:val="6B7280"/>
        </w:rPr>
        <w:t>Metodología de proyección: las estimaciones combinan la tendencia observada en los últimos 3 a 6 meses con la identificación de factores de desvío previsibles —entre ellos estacionalidad, política tarifaria, dinámica salarial, comercio exterior y condiciones monetarias— para construir un escenario base con supuestos explícitos. Las proyecciones se expresan como rangos con el fin de reflejar la incertidumbre inherente al contexto argentino y se revisan mensualmente a medida que se incorporan nuevos datos.</w:t>
      </w:r>
    </w:p>
    <w:p w14:paraId="727D89BA" w14:textId="77777777" w:rsidR="003756E4" w:rsidRDefault="003756E4">
      <w:pPr>
        <w:pBdr>
          <w:bottom w:val="single" w:sz="8" w:space="1" w:color="C9A84C"/>
        </w:pBdr>
        <w:spacing w:before="80" w:after="80"/>
      </w:pPr>
    </w:p>
    <w:p w14:paraId="5519A525" w14:textId="77777777" w:rsidR="003756E4" w:rsidRDefault="00000000">
      <w:r>
        <w:br w:type="page"/>
      </w:r>
    </w:p>
    <w:p w14:paraId="53E170F4" w14:textId="77777777" w:rsidR="003756E4" w:rsidRDefault="00000000">
      <w:pPr>
        <w:pStyle w:val="Ttulo1"/>
        <w:pBdr>
          <w:bottom w:val="single" w:sz="6" w:space="4" w:color="C9A84C"/>
        </w:pBdr>
        <w:spacing w:after="100"/>
      </w:pPr>
      <w:r>
        <w:lastRenderedPageBreak/>
        <w:t>7. Metodología y Fuentes</w:t>
      </w:r>
    </w:p>
    <w:p w14:paraId="0AB72BCB" w14:textId="77777777" w:rsidR="003756E4" w:rsidRDefault="00000000">
      <w:pPr>
        <w:pStyle w:val="Ttulo2"/>
      </w:pPr>
      <w:r>
        <w:t>Metodología</w:t>
      </w:r>
    </w:p>
    <w:p w14:paraId="3017B47C" w14:textId="77777777" w:rsidR="003756E4" w:rsidRDefault="00000000">
      <w:pPr>
        <w:spacing w:before="60" w:after="60" w:line="276" w:lineRule="auto"/>
        <w:jc w:val="both"/>
      </w:pPr>
      <w:r>
        <w:t xml:space="preserve">Las proyecciones del Equipo </w:t>
      </w:r>
      <w:proofErr w:type="spellStart"/>
      <w:r>
        <w:t>MacroLibre</w:t>
      </w:r>
      <w:proofErr w:type="spellEnd"/>
      <w:r>
        <w:t xml:space="preserve"> se elaboran a partir de datos oficiales procesados a través de la plataforma MacroLibre.com. El proceso combina: (i) análisis de tendencia histórica de series de al menos 6 meses; (</w:t>
      </w:r>
      <w:proofErr w:type="spellStart"/>
      <w:r>
        <w:t>ii</w:t>
      </w:r>
      <w:proofErr w:type="spellEnd"/>
      <w:r>
        <w:t>) identificación de factores de desvío previsibles — estacionalidad, vencimientos, paritarias, eventos de política económica; (</w:t>
      </w:r>
      <w:proofErr w:type="spellStart"/>
      <w:r>
        <w:t>iii</w:t>
      </w:r>
      <w:proofErr w:type="spellEnd"/>
      <w:r>
        <w:t>) modelos de series de tiempo cuando la extensión de la serie lo permite; y (</w:t>
      </w:r>
      <w:proofErr w:type="spellStart"/>
      <w:r>
        <w:t>iv</w:t>
      </w:r>
      <w:proofErr w:type="spellEnd"/>
      <w:r>
        <w:t xml:space="preserve">) juicio técnico del equipo para calibrar rangos de incertidumbre. Las proyecciones se actualizan mensualmente y constituyen el </w:t>
      </w:r>
      <w:proofErr w:type="spellStart"/>
      <w:r>
        <w:t>track</w:t>
      </w:r>
      <w:proofErr w:type="spellEnd"/>
      <w:r>
        <w:t xml:space="preserve"> </w:t>
      </w:r>
      <w:proofErr w:type="spellStart"/>
      <w:r>
        <w:t>record</w:t>
      </w:r>
      <w:proofErr w:type="spellEnd"/>
      <w:r>
        <w:t xml:space="preserve"> institucional en construcción para aplicar como participante del REM-BCRA.</w:t>
      </w:r>
    </w:p>
    <w:p w14:paraId="1873B332" w14:textId="77777777" w:rsidR="003756E4" w:rsidRDefault="003756E4"/>
    <w:p w14:paraId="29AE36D8" w14:textId="77777777" w:rsidR="003756E4" w:rsidRDefault="00000000">
      <w:pPr>
        <w:pStyle w:val="Ttulo2"/>
      </w:pPr>
      <w:r>
        <w:t>Fuentes consultadas</w:t>
      </w:r>
    </w:p>
    <w:p w14:paraId="1B7AC05B" w14:textId="77777777" w:rsidR="003756E4" w:rsidRDefault="00000000">
      <w:pPr>
        <w:pStyle w:val="Prrafodelista"/>
        <w:numPr>
          <w:ilvl w:val="0"/>
          <w:numId w:val="2"/>
        </w:numPr>
        <w:spacing w:before="40" w:after="40"/>
      </w:pPr>
      <w:r>
        <w:t>INDEC — IPC abril 2026 (publicado 14/05/2026): indec.gob.ar</w:t>
      </w:r>
    </w:p>
    <w:p w14:paraId="4F322C43" w14:textId="77777777" w:rsidR="003756E4" w:rsidRDefault="00000000">
      <w:pPr>
        <w:pStyle w:val="Prrafodelista"/>
        <w:numPr>
          <w:ilvl w:val="0"/>
          <w:numId w:val="2"/>
        </w:numPr>
        <w:spacing w:before="40" w:after="40"/>
      </w:pPr>
      <w:r>
        <w:t>INDEC — EMAE marzo 2026 (publicado 21/05/2026): indec.gob.ar</w:t>
      </w:r>
    </w:p>
    <w:p w14:paraId="52D8F1F0" w14:textId="77777777" w:rsidR="003756E4" w:rsidRDefault="00000000">
      <w:pPr>
        <w:pStyle w:val="Prrafodelista"/>
        <w:numPr>
          <w:ilvl w:val="0"/>
          <w:numId w:val="2"/>
        </w:numPr>
        <w:spacing w:before="40" w:after="40"/>
      </w:pPr>
      <w:r>
        <w:t>INDEC — Intercambio Comercial Argentino abril 2026 (publicado 20/05/2026): indec.gob.ar</w:t>
      </w:r>
    </w:p>
    <w:p w14:paraId="67C657BB" w14:textId="77777777" w:rsidR="003756E4" w:rsidRDefault="00000000">
      <w:pPr>
        <w:pStyle w:val="Prrafodelista"/>
        <w:numPr>
          <w:ilvl w:val="0"/>
          <w:numId w:val="2"/>
        </w:numPr>
        <w:spacing w:before="40" w:after="40"/>
      </w:pPr>
      <w:r>
        <w:t>BCRA — Informe Monetario Mensual abril 2026: bcra.gob.ar</w:t>
      </w:r>
    </w:p>
    <w:p w14:paraId="3F208F14" w14:textId="77777777" w:rsidR="003756E4" w:rsidRDefault="00000000">
      <w:pPr>
        <w:pStyle w:val="Prrafodelista"/>
        <w:numPr>
          <w:ilvl w:val="0"/>
          <w:numId w:val="2"/>
        </w:numPr>
        <w:spacing w:before="40" w:after="40"/>
      </w:pPr>
      <w:r>
        <w:t>Ministerio de Economía — Resultado fiscal SPNF abril 2026 (publicado 16/05/2026): economia.gob.ar</w:t>
      </w:r>
    </w:p>
    <w:p w14:paraId="5F1DCC8D" w14:textId="77777777" w:rsidR="003756E4" w:rsidRDefault="00000000">
      <w:pPr>
        <w:pStyle w:val="Prrafodelista"/>
        <w:numPr>
          <w:ilvl w:val="0"/>
          <w:numId w:val="2"/>
        </w:numPr>
        <w:spacing w:before="40" w:after="40"/>
      </w:pPr>
      <w:r>
        <w:t>FMI — Segunda revisión del acuerdo EFF (aprobado 21/05/2026): imf.org</w:t>
      </w:r>
    </w:p>
    <w:p w14:paraId="153D38B5" w14:textId="77777777" w:rsidR="003756E4" w:rsidRDefault="00000000">
      <w:pPr>
        <w:pStyle w:val="Prrafodelista"/>
        <w:numPr>
          <w:ilvl w:val="0"/>
          <w:numId w:val="2"/>
        </w:numPr>
        <w:spacing w:before="40" w:after="40"/>
      </w:pPr>
      <w:r>
        <w:t xml:space="preserve">MacroLibre.com — </w:t>
      </w:r>
      <w:proofErr w:type="spellStart"/>
      <w:r>
        <w:t>Dashboard</w:t>
      </w:r>
      <w:proofErr w:type="spellEnd"/>
      <w:r>
        <w:t xml:space="preserve"> de indicadores en tiempo real: macrolibre.com</w:t>
      </w:r>
    </w:p>
    <w:p w14:paraId="68B5386A" w14:textId="77777777" w:rsidR="003756E4" w:rsidRDefault="003756E4"/>
    <w:p w14:paraId="0B423159" w14:textId="77777777" w:rsidR="003756E4" w:rsidRDefault="00000000">
      <w:pPr>
        <w:spacing w:before="200" w:after="80"/>
      </w:pPr>
      <w:r>
        <w:rPr>
          <w:b/>
          <w:bCs/>
          <w:color w:val="0A0E17"/>
        </w:rPr>
        <w:t>Contacto y plataforma de datos</w:t>
      </w:r>
    </w:p>
    <w:p w14:paraId="056BD9F5" w14:textId="77777777" w:rsidR="003756E4" w:rsidRDefault="00000000">
      <w:pPr>
        <w:spacing w:before="60" w:after="60" w:line="276" w:lineRule="auto"/>
        <w:jc w:val="both"/>
      </w:pPr>
      <w:r>
        <w:t>MacroLibre.com — Pulso económico en tiempo real. Datos abiertos, actualizados y gratuitos sobre la economía argentina.</w:t>
      </w:r>
    </w:p>
    <w:p w14:paraId="15954F71" w14:textId="77777777" w:rsidR="003756E4" w:rsidRDefault="00000000">
      <w:pPr>
        <w:spacing w:before="60" w:after="60" w:line="276" w:lineRule="auto"/>
        <w:jc w:val="both"/>
      </w:pPr>
      <w:r>
        <w:t>Edición N°1 — Mayo 2026. Las próximas ediciones se publicarán entre el 15 y 20 de cada mes.</w:t>
      </w:r>
    </w:p>
    <w:sectPr w:rsidR="003756E4">
      <w:headerReference w:type="default" r:id="rId12"/>
      <w:footerReference w:type="default" r:id="rId13"/>
      <w:pgSz w:w="11906" w:h="16838"/>
      <w:pgMar w:top="1200" w:right="1080" w:bottom="12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E5AA2" w14:textId="77777777" w:rsidR="009D7FD1" w:rsidRDefault="009D7FD1">
      <w:r>
        <w:separator/>
      </w:r>
    </w:p>
  </w:endnote>
  <w:endnote w:type="continuationSeparator" w:id="0">
    <w:p w14:paraId="5F68E21E" w14:textId="77777777" w:rsidR="009D7FD1" w:rsidRDefault="009D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4F60" w14:textId="77777777" w:rsidR="003756E4" w:rsidRDefault="003756E4">
    <w:pPr>
      <w:pBdr>
        <w:top w:val="single" w:sz="4" w:space="2" w:color="0D9488"/>
      </w:pBdr>
      <w:spacing w:before="100"/>
    </w:pPr>
  </w:p>
  <w:p w14:paraId="13E36D8D" w14:textId="505A9CEB" w:rsidR="000A2D88" w:rsidRPr="000A2D88" w:rsidRDefault="00000000">
    <w:pPr>
      <w:tabs>
        <w:tab w:val="right" w:pos="9200"/>
      </w:tabs>
      <w:rPr>
        <w:color w:val="6B7280"/>
        <w:sz w:val="18"/>
        <w:szCs w:val="18"/>
      </w:rPr>
    </w:pPr>
    <w:r>
      <w:rPr>
        <w:i/>
        <w:iCs/>
        <w:color w:val="6B7280"/>
        <w:sz w:val="16"/>
        <w:szCs w:val="16"/>
      </w:rPr>
      <w:t>Edición N°1 — Mayo 2026  |  No constituye asesoramiento de inversión</w:t>
    </w:r>
    <w:r>
      <w:rPr>
        <w:sz w:val="16"/>
        <w:szCs w:val="16"/>
      </w:rPr>
      <w:tab/>
    </w:r>
    <w:r>
      <w:rPr>
        <w:color w:val="6B7280"/>
        <w:sz w:val="18"/>
        <w:szCs w:val="18"/>
      </w:rPr>
      <w:t xml:space="preserve">Página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63EE" w14:textId="77777777" w:rsidR="009D7FD1" w:rsidRDefault="009D7FD1">
      <w:r>
        <w:separator/>
      </w:r>
    </w:p>
  </w:footnote>
  <w:footnote w:type="continuationSeparator" w:id="0">
    <w:p w14:paraId="20F9AA34" w14:textId="77777777" w:rsidR="009D7FD1" w:rsidRDefault="009D7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4246"/>
    </w:tblGrid>
    <w:tr w:rsidR="003756E4" w14:paraId="2BFA2C13" w14:textId="77777777">
      <w:tblPrEx>
        <w:tblCellMar>
          <w:top w:w="0" w:type="dxa"/>
          <w:bottom w:w="0" w:type="dxa"/>
        </w:tblCellMar>
      </w:tblPrEx>
      <w:tc>
        <w:tcPr>
          <w:tcW w:w="5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8F1E3C0" w14:textId="77777777" w:rsidR="003756E4" w:rsidRDefault="00000000">
          <w:proofErr w:type="spellStart"/>
          <w:r>
            <w:rPr>
              <w:b/>
              <w:bCs/>
              <w:color w:val="0A0E17"/>
            </w:rPr>
            <w:t>MacroLibre</w:t>
          </w:r>
          <w:proofErr w:type="spellEnd"/>
          <w:r>
            <w:rPr>
              <w:color w:val="6B7280"/>
              <w:sz w:val="20"/>
              <w:szCs w:val="20"/>
            </w:rPr>
            <w:t xml:space="preserve">  |  Informe Macroeconómico — Mayo 2026</w:t>
          </w:r>
        </w:p>
      </w:tc>
      <w:tc>
        <w:tcPr>
          <w:tcW w:w="424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2BB06A2" w14:textId="77777777" w:rsidR="003756E4" w:rsidRDefault="00000000">
          <w:pPr>
            <w:jc w:val="right"/>
          </w:pPr>
          <w:r>
            <w:rPr>
              <w:color w:val="0D9488"/>
              <w:sz w:val="20"/>
              <w:szCs w:val="20"/>
            </w:rPr>
            <w:t>macrolibre.com</w:t>
          </w:r>
        </w:p>
      </w:tc>
    </w:tr>
  </w:tbl>
  <w:p w14:paraId="3779A9B9" w14:textId="77777777" w:rsidR="003756E4" w:rsidRDefault="003756E4">
    <w:pPr>
      <w:pBdr>
        <w:bottom w:val="single" w:sz="4" w:space="2" w:color="C9A84C"/>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738C"/>
    <w:multiLevelType w:val="hybridMultilevel"/>
    <w:tmpl w:val="108A0494"/>
    <w:lvl w:ilvl="0" w:tplc="F53E0CF4">
      <w:start w:val="1"/>
      <w:numFmt w:val="bullet"/>
      <w:lvlText w:val="●"/>
      <w:lvlJc w:val="left"/>
      <w:pPr>
        <w:ind w:left="720" w:hanging="360"/>
      </w:pPr>
    </w:lvl>
    <w:lvl w:ilvl="1" w:tplc="3E743F24">
      <w:start w:val="1"/>
      <w:numFmt w:val="bullet"/>
      <w:lvlText w:val="○"/>
      <w:lvlJc w:val="left"/>
      <w:pPr>
        <w:ind w:left="1440" w:hanging="360"/>
      </w:pPr>
    </w:lvl>
    <w:lvl w:ilvl="2" w:tplc="B90C70CA">
      <w:start w:val="1"/>
      <w:numFmt w:val="bullet"/>
      <w:lvlText w:val="■"/>
      <w:lvlJc w:val="left"/>
      <w:pPr>
        <w:ind w:left="2160" w:hanging="360"/>
      </w:pPr>
    </w:lvl>
    <w:lvl w:ilvl="3" w:tplc="61124688">
      <w:start w:val="1"/>
      <w:numFmt w:val="bullet"/>
      <w:lvlText w:val="●"/>
      <w:lvlJc w:val="left"/>
      <w:pPr>
        <w:ind w:left="2880" w:hanging="360"/>
      </w:pPr>
    </w:lvl>
    <w:lvl w:ilvl="4" w:tplc="40A8ED4E">
      <w:start w:val="1"/>
      <w:numFmt w:val="bullet"/>
      <w:lvlText w:val="○"/>
      <w:lvlJc w:val="left"/>
      <w:pPr>
        <w:ind w:left="3600" w:hanging="360"/>
      </w:pPr>
    </w:lvl>
    <w:lvl w:ilvl="5" w:tplc="809A156E">
      <w:start w:val="1"/>
      <w:numFmt w:val="bullet"/>
      <w:lvlText w:val="■"/>
      <w:lvlJc w:val="left"/>
      <w:pPr>
        <w:ind w:left="4320" w:hanging="360"/>
      </w:pPr>
    </w:lvl>
    <w:lvl w:ilvl="6" w:tplc="A29832FC">
      <w:start w:val="1"/>
      <w:numFmt w:val="bullet"/>
      <w:lvlText w:val="●"/>
      <w:lvlJc w:val="left"/>
      <w:pPr>
        <w:ind w:left="5040" w:hanging="360"/>
      </w:pPr>
    </w:lvl>
    <w:lvl w:ilvl="7" w:tplc="73B2F356">
      <w:start w:val="1"/>
      <w:numFmt w:val="bullet"/>
      <w:lvlText w:val="●"/>
      <w:lvlJc w:val="left"/>
      <w:pPr>
        <w:ind w:left="5760" w:hanging="360"/>
      </w:pPr>
    </w:lvl>
    <w:lvl w:ilvl="8" w:tplc="C2E6A9E8">
      <w:start w:val="1"/>
      <w:numFmt w:val="bullet"/>
      <w:lvlText w:val="●"/>
      <w:lvlJc w:val="left"/>
      <w:pPr>
        <w:ind w:left="6480" w:hanging="360"/>
      </w:pPr>
    </w:lvl>
  </w:abstractNum>
  <w:abstractNum w:abstractNumId="1" w15:restartNumberingAfterBreak="0">
    <w:nsid w:val="21F44567"/>
    <w:multiLevelType w:val="hybridMultilevel"/>
    <w:tmpl w:val="764E1A7E"/>
    <w:lvl w:ilvl="0" w:tplc="C3B6B110">
      <w:start w:val="1"/>
      <w:numFmt w:val="bullet"/>
      <w:lvlText w:val="•"/>
      <w:lvlJc w:val="left"/>
      <w:pPr>
        <w:ind w:left="600" w:hanging="360"/>
      </w:pPr>
    </w:lvl>
    <w:lvl w:ilvl="1" w:tplc="4F340CAE">
      <w:numFmt w:val="decimal"/>
      <w:lvlText w:val=""/>
      <w:lvlJc w:val="left"/>
    </w:lvl>
    <w:lvl w:ilvl="2" w:tplc="BB424BD8">
      <w:numFmt w:val="decimal"/>
      <w:lvlText w:val=""/>
      <w:lvlJc w:val="left"/>
    </w:lvl>
    <w:lvl w:ilvl="3" w:tplc="069833B0">
      <w:numFmt w:val="decimal"/>
      <w:lvlText w:val=""/>
      <w:lvlJc w:val="left"/>
    </w:lvl>
    <w:lvl w:ilvl="4" w:tplc="491646D8">
      <w:numFmt w:val="decimal"/>
      <w:lvlText w:val=""/>
      <w:lvlJc w:val="left"/>
    </w:lvl>
    <w:lvl w:ilvl="5" w:tplc="278C981E">
      <w:numFmt w:val="decimal"/>
      <w:lvlText w:val=""/>
      <w:lvlJc w:val="left"/>
    </w:lvl>
    <w:lvl w:ilvl="6" w:tplc="56626CD4">
      <w:numFmt w:val="decimal"/>
      <w:lvlText w:val=""/>
      <w:lvlJc w:val="left"/>
    </w:lvl>
    <w:lvl w:ilvl="7" w:tplc="8522F8F2">
      <w:numFmt w:val="decimal"/>
      <w:lvlText w:val=""/>
      <w:lvlJc w:val="left"/>
    </w:lvl>
    <w:lvl w:ilvl="8" w:tplc="09B85C18">
      <w:numFmt w:val="decimal"/>
      <w:lvlText w:val=""/>
      <w:lvlJc w:val="left"/>
    </w:lvl>
  </w:abstractNum>
  <w:num w:numId="1" w16cid:durableId="1513497584">
    <w:abstractNumId w:val="0"/>
    <w:lvlOverride w:ilvl="0">
      <w:startOverride w:val="1"/>
    </w:lvlOverride>
  </w:num>
  <w:num w:numId="2" w16cid:durableId="9137832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6E4"/>
    <w:rsid w:val="000A2D88"/>
    <w:rsid w:val="003756E4"/>
    <w:rsid w:val="004B54F2"/>
    <w:rsid w:val="004F7416"/>
    <w:rsid w:val="009D7FD1"/>
    <w:rsid w:val="00A747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F0A3359"/>
  <w15:docId w15:val="{1DD277C8-DE26-1445-BA9A-181C77B3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F2937"/>
        <w:sz w:val="22"/>
        <w:szCs w:val="22"/>
        <w:lang w:val="es-AR"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40" w:after="120"/>
      <w:outlineLvl w:val="0"/>
    </w:pPr>
    <w:rPr>
      <w:b/>
      <w:bCs/>
      <w:color w:val="0A0E17"/>
      <w:sz w:val="28"/>
      <w:szCs w:val="28"/>
    </w:rPr>
  </w:style>
  <w:style w:type="paragraph" w:styleId="Ttulo2">
    <w:name w:val="heading 2"/>
    <w:uiPriority w:val="9"/>
    <w:unhideWhenUsed/>
    <w:qFormat/>
    <w:pPr>
      <w:spacing w:before="200" w:after="80"/>
      <w:outlineLvl w:val="1"/>
    </w:pPr>
    <w:rPr>
      <w:b/>
      <w:bCs/>
      <w:color w:val="0D9488"/>
      <w:sz w:val="24"/>
      <w:szCs w:val="24"/>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0A2D88"/>
    <w:pPr>
      <w:tabs>
        <w:tab w:val="center" w:pos="4419"/>
        <w:tab w:val="right" w:pos="8838"/>
      </w:tabs>
    </w:pPr>
  </w:style>
  <w:style w:type="character" w:customStyle="1" w:styleId="EncabezadoCar">
    <w:name w:val="Encabezado Car"/>
    <w:basedOn w:val="Fuentedeprrafopredeter"/>
    <w:link w:val="Encabezado"/>
    <w:uiPriority w:val="99"/>
    <w:rsid w:val="000A2D88"/>
  </w:style>
  <w:style w:type="paragraph" w:styleId="Piedepgina">
    <w:name w:val="footer"/>
    <w:basedOn w:val="Normal"/>
    <w:link w:val="PiedepginaCar"/>
    <w:uiPriority w:val="99"/>
    <w:unhideWhenUsed/>
    <w:rsid w:val="000A2D88"/>
    <w:pPr>
      <w:tabs>
        <w:tab w:val="center" w:pos="4419"/>
        <w:tab w:val="right" w:pos="8838"/>
      </w:tabs>
    </w:pPr>
  </w:style>
  <w:style w:type="character" w:customStyle="1" w:styleId="PiedepginaCar">
    <w:name w:val="Pie de página Car"/>
    <w:basedOn w:val="Fuentedeprrafopredeter"/>
    <w:link w:val="Piedepgina"/>
    <w:uiPriority w:val="99"/>
    <w:rsid w:val="000A2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2693</Words>
  <Characters>15676</Characters>
  <Application>Microsoft Office Word</Application>
  <DocSecurity>0</DocSecurity>
  <Lines>653</Lines>
  <Paragraphs>574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santiago Murcia</cp:lastModifiedBy>
  <cp:revision>2</cp:revision>
  <dcterms:created xsi:type="dcterms:W3CDTF">2026-05-22T20:36:00Z</dcterms:created>
  <dcterms:modified xsi:type="dcterms:W3CDTF">2026-05-22T21:07:00Z</dcterms:modified>
</cp:coreProperties>
</file>