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00"/>
      </w:tblGrid>
      <w:tr w:rsidR="00924AD2" w14:paraId="12560A49" w14:textId="77777777">
        <w:tblPrEx>
          <w:tblCellMar>
            <w:top w:w="0" w:type="dxa"/>
            <w:bottom w:w="0" w:type="dxa"/>
          </w:tblCellMar>
        </w:tblPrEx>
        <w:tc>
          <w:tcPr>
            <w:tcW w:w="10800" w:type="dxa"/>
            <w:tcBorders>
              <w:top w:val="single" w:sz="8" w:space="0" w:color="00A3E0"/>
              <w:left w:val="single" w:sz="8" w:space="0" w:color="00A3E0"/>
              <w:bottom w:val="single" w:sz="8" w:space="0" w:color="00A3E0"/>
              <w:right w:val="single" w:sz="8" w:space="0" w:color="00A3E0"/>
            </w:tcBorders>
            <w:shd w:val="clear" w:color="auto" w:fill="1A1A2E"/>
            <w:tcMar>
              <w:top w:w="200" w:type="dxa"/>
              <w:left w:w="200" w:type="dxa"/>
              <w:bottom w:w="200" w:type="dxa"/>
              <w:right w:w="200" w:type="dxa"/>
            </w:tcMar>
          </w:tcPr>
          <w:p w14:paraId="22B45783" w14:textId="77777777" w:rsidR="00924AD2" w:rsidRDefault="00000000">
            <w:pPr>
              <w:jc w:val="center"/>
            </w:pPr>
            <w:proofErr w:type="spellStart"/>
            <w:r>
              <w:rPr>
                <w:b/>
                <w:bCs/>
                <w:color w:val="FFFFFF"/>
                <w:sz w:val="32"/>
                <w:szCs w:val="32"/>
              </w:rPr>
              <w:t>MacroLibre</w:t>
            </w:r>
            <w:proofErr w:type="spellEnd"/>
          </w:p>
          <w:p w14:paraId="7B8E04AB" w14:textId="77777777" w:rsidR="00924AD2" w:rsidRDefault="00000000">
            <w:pPr>
              <w:jc w:val="center"/>
            </w:pPr>
            <w:r>
              <w:rPr>
                <w:color w:val="00A3E0"/>
                <w:sz w:val="18"/>
                <w:szCs w:val="18"/>
              </w:rPr>
              <w:t>macrolibre.com</w:t>
            </w:r>
          </w:p>
        </w:tc>
      </w:tr>
      <w:tr w:rsidR="00924AD2" w14:paraId="10A5B1AD" w14:textId="77777777">
        <w:tblPrEx>
          <w:tblCellMar>
            <w:top w:w="0" w:type="dxa"/>
            <w:bottom w:w="0" w:type="dxa"/>
          </w:tblCellMar>
        </w:tblPrEx>
        <w:tc>
          <w:tcPr>
            <w:tcW w:w="10800" w:type="dxa"/>
            <w:tcBorders>
              <w:top w:val="none" w:sz="0" w:space="0" w:color="FFFFFF"/>
              <w:left w:val="none" w:sz="0" w:space="0" w:color="FFFFFF"/>
              <w:bottom w:val="none" w:sz="0" w:space="0" w:color="FFFFFF"/>
              <w:right w:val="none" w:sz="0" w:space="0" w:color="FFFFFF"/>
            </w:tcBorders>
            <w:tcMar>
              <w:top w:w="300" w:type="dxa"/>
              <w:left w:w="200" w:type="dxa"/>
              <w:bottom w:w="100" w:type="dxa"/>
              <w:right w:w="200" w:type="dxa"/>
            </w:tcMar>
          </w:tcPr>
          <w:p w14:paraId="09D5573B" w14:textId="77777777" w:rsidR="00924AD2" w:rsidRDefault="00000000">
            <w:pPr>
              <w:spacing w:after="120"/>
              <w:jc w:val="center"/>
            </w:pPr>
            <w:r>
              <w:rPr>
                <w:b/>
                <w:bCs/>
                <w:color w:val="1A1A2E"/>
                <w:sz w:val="36"/>
                <w:szCs w:val="36"/>
              </w:rPr>
              <w:t>INFORME MACROECONÓMICO</w:t>
            </w:r>
          </w:p>
          <w:p w14:paraId="58803B90" w14:textId="77777777" w:rsidR="00924AD2" w:rsidRDefault="00000000">
            <w:pPr>
              <w:spacing w:after="60"/>
              <w:jc w:val="center"/>
            </w:pPr>
            <w:proofErr w:type="spellStart"/>
            <w:r>
              <w:rPr>
                <w:b/>
                <w:bCs/>
                <w:color w:val="00A3E0"/>
                <w:sz w:val="28"/>
                <w:szCs w:val="28"/>
              </w:rPr>
              <w:t>MacroLibre</w:t>
            </w:r>
            <w:proofErr w:type="spellEnd"/>
          </w:p>
          <w:p w14:paraId="4A79E7F1" w14:textId="77777777" w:rsidR="00924AD2" w:rsidRDefault="00000000">
            <w:pPr>
              <w:spacing w:after="60"/>
              <w:jc w:val="center"/>
            </w:pPr>
            <w:r>
              <w:rPr>
                <w:b/>
                <w:bCs/>
                <w:color w:val="1A1A2E"/>
                <w:sz w:val="40"/>
                <w:szCs w:val="40"/>
              </w:rPr>
              <w:t>JUNIO 2026</w:t>
            </w:r>
          </w:p>
          <w:p w14:paraId="41C3E038" w14:textId="77777777" w:rsidR="00924AD2" w:rsidRDefault="00000000">
            <w:pPr>
              <w:spacing w:after="200"/>
              <w:jc w:val="center"/>
            </w:pPr>
            <w:r>
              <w:rPr>
                <w:i/>
                <w:iCs/>
                <w:color w:val="555555"/>
                <w:sz w:val="18"/>
                <w:szCs w:val="18"/>
              </w:rPr>
              <w:t>Análisis de coyuntura y proyecciones de variables macroeconómicas seleccionadas</w:t>
            </w:r>
          </w:p>
          <w:p w14:paraId="127D8BC1" w14:textId="77777777" w:rsidR="00924AD2" w:rsidRDefault="00000000">
            <w:pPr>
              <w:jc w:val="center"/>
            </w:pPr>
            <w:r>
              <w:rPr>
                <w:sz w:val="18"/>
                <w:szCs w:val="18"/>
              </w:rPr>
              <w:t>Edición N°2  |  18 de junio de 2026</w:t>
            </w:r>
          </w:p>
          <w:p w14:paraId="7567228F" w14:textId="77777777" w:rsidR="00924AD2" w:rsidRDefault="00000000">
            <w:pPr>
              <w:spacing w:before="120"/>
              <w:jc w:val="center"/>
            </w:pPr>
            <w:r>
              <w:rPr>
                <w:color w:val="666666"/>
                <w:sz w:val="16"/>
                <w:szCs w:val="16"/>
              </w:rPr>
              <w:t>Equipo de Análisis — MacroLibre.com</w:t>
            </w:r>
          </w:p>
        </w:tc>
      </w:tr>
      <w:tr w:rsidR="00924AD2" w14:paraId="2A5B472B" w14:textId="77777777">
        <w:tblPrEx>
          <w:tblCellMar>
            <w:top w:w="0" w:type="dxa"/>
            <w:bottom w:w="0" w:type="dxa"/>
          </w:tblCellMar>
        </w:tblPrEx>
        <w:tc>
          <w:tcPr>
            <w:tcW w:w="10800" w:type="dxa"/>
            <w:tcBorders>
              <w:top w:val="single" w:sz="1" w:space="0" w:color="CCCCCC"/>
              <w:left w:val="single" w:sz="1" w:space="0" w:color="CCCCCC"/>
              <w:bottom w:val="single" w:sz="1" w:space="0" w:color="CCCCCC"/>
              <w:right w:val="single" w:sz="1" w:space="0" w:color="CCCCCC"/>
            </w:tcBorders>
            <w:shd w:val="clear" w:color="auto" w:fill="FFF8E7"/>
            <w:tcMar>
              <w:top w:w="80" w:type="dxa"/>
              <w:left w:w="120" w:type="dxa"/>
              <w:bottom w:w="80" w:type="dxa"/>
              <w:right w:w="120" w:type="dxa"/>
            </w:tcMar>
          </w:tcPr>
          <w:p w14:paraId="3F9DF8B6" w14:textId="77777777" w:rsidR="00924AD2" w:rsidRDefault="00000000">
            <w:pPr>
              <w:jc w:val="center"/>
            </w:pPr>
            <w:r>
              <w:rPr>
                <w:i/>
                <w:iCs/>
                <w:color w:val="666666"/>
                <w:sz w:val="14"/>
                <w:szCs w:val="14"/>
              </w:rPr>
              <w:t>*Este informe es elaborado con fines de análisis y divulgación. No constituye asesoramiento de inversión.*</w:t>
            </w:r>
          </w:p>
        </w:tc>
      </w:tr>
    </w:tbl>
    <w:p w14:paraId="0AC6096D" w14:textId="77777777" w:rsidR="00924AD2" w:rsidRDefault="00000000">
      <w:r>
        <w:br w:type="page"/>
      </w:r>
    </w:p>
    <w:p w14:paraId="6A64550A" w14:textId="77777777" w:rsidR="00924AD2" w:rsidRDefault="00924AD2">
      <w:pPr>
        <w:sectPr w:rsidR="00924AD2">
          <w:pgSz w:w="12240" w:h="15840"/>
          <w:pgMar w:top="720" w:right="720" w:bottom="720" w:left="720" w:header="708" w:footer="708" w:gutter="0"/>
          <w:cols w:space="720"/>
          <w:docGrid w:linePitch="360"/>
        </w:sectPr>
      </w:pPr>
    </w:p>
    <w:p w14:paraId="261F548C" w14:textId="77777777" w:rsidR="00924AD2" w:rsidRDefault="00000000">
      <w:pPr>
        <w:pStyle w:val="Ttulo1"/>
      </w:pPr>
      <w:r>
        <w:lastRenderedPageBreak/>
        <w:t>Resumen Ejecutivo</w:t>
      </w:r>
    </w:p>
    <w:p w14:paraId="1AFB58A0" w14:textId="77777777" w:rsidR="00924AD2" w:rsidRDefault="00000000">
      <w:pPr>
        <w:spacing w:after="120"/>
      </w:pPr>
      <w:r>
        <w:t>Junio de 2026 (con datos a mitad de mes) confirma la continuación de la desinflación y el fortalecimiento de los fundamentos estructurales de la economía argentina. El IPC de mayo se ubicó en 2,1% mensual —desaceleración clara respecto del 2,6% de abril—, mientras las reservas brutas del BCRA superan los USD 47.800 millones con compras netas superiores a USD 600 millones solo en los primeros días de junio. El superávit comercial de abril marcó un récord de USD 2.711 millones y el fiscal primario acumula cuatro meses consecutivos en verde.</w:t>
      </w:r>
    </w:p>
    <w:p w14:paraId="3783BCD4" w14:textId="77777777" w:rsidR="00924AD2" w:rsidRDefault="00000000">
      <w:pPr>
        <w:spacing w:after="120"/>
      </w:pPr>
      <w:r>
        <w:t>La combinación de menor inflación mensual, acumulación acelerada de reservas y persistencia de los superávits gemelos apunta a un escenario de mayor orden macroeconómico. Sin embargo, la recuperación de la actividad sigue siendo heterogénea y liderada por sectores transables, mientras el consumo interno muestra dos velocidades bien diferenciadas.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60"/>
        <w:gridCol w:w="1560"/>
        <w:gridCol w:w="1560"/>
        <w:gridCol w:w="1560"/>
        <w:gridCol w:w="1560"/>
        <w:gridCol w:w="1560"/>
      </w:tblGrid>
      <w:tr w:rsidR="00924AD2" w14:paraId="7DCAE105" w14:textId="77777777">
        <w:tblPrEx>
          <w:tblCellMar>
            <w:top w:w="0" w:type="dxa"/>
            <w:bottom w:w="0" w:type="dxa"/>
          </w:tblCellMar>
        </w:tblPrEx>
        <w:tc>
          <w:tcPr>
            <w:tcW w:w="1560" w:type="dxa"/>
            <w:tcBorders>
              <w:top w:val="single" w:sz="1" w:space="0" w:color="CCCCCC"/>
              <w:left w:val="single" w:sz="1" w:space="0" w:color="CCCCCC"/>
              <w:bottom w:val="single" w:sz="1" w:space="0" w:color="CCCCCC"/>
              <w:right w:val="single" w:sz="1" w:space="0" w:color="CCCCCC"/>
            </w:tcBorders>
            <w:shd w:val="clear" w:color="auto" w:fill="E8F4F8"/>
            <w:tcMar>
              <w:top w:w="60" w:type="dxa"/>
              <w:left w:w="80" w:type="dxa"/>
              <w:bottom w:w="60" w:type="dxa"/>
              <w:right w:w="80" w:type="dxa"/>
            </w:tcMar>
          </w:tcPr>
          <w:p w14:paraId="53EFEE86" w14:textId="77777777" w:rsidR="00924AD2" w:rsidRDefault="00000000">
            <w:pPr>
              <w:spacing w:after="40"/>
              <w:jc w:val="center"/>
            </w:pPr>
            <w:r>
              <w:rPr>
                <w:b/>
                <w:bCs/>
                <w:color w:val="00A3E0"/>
                <w:sz w:val="26"/>
                <w:szCs w:val="26"/>
              </w:rPr>
              <w:t>2,1%</w:t>
            </w:r>
          </w:p>
          <w:p w14:paraId="369E7EE5" w14:textId="77777777" w:rsidR="00924AD2" w:rsidRDefault="00000000">
            <w:pPr>
              <w:spacing w:after="20"/>
              <w:jc w:val="center"/>
            </w:pPr>
            <w:r>
              <w:rPr>
                <w:b/>
                <w:bCs/>
                <w:sz w:val="16"/>
                <w:szCs w:val="16"/>
              </w:rPr>
              <w:t>IPC Mayo 2026</w:t>
            </w:r>
          </w:p>
          <w:p w14:paraId="7976E676" w14:textId="77777777" w:rsidR="00924AD2" w:rsidRDefault="00000000">
            <w:pPr>
              <w:jc w:val="center"/>
            </w:pPr>
            <w:proofErr w:type="spellStart"/>
            <w:r>
              <w:rPr>
                <w:color w:val="555555"/>
                <w:sz w:val="14"/>
                <w:szCs w:val="14"/>
              </w:rPr>
              <w:t>var</w:t>
            </w:r>
            <w:proofErr w:type="spellEnd"/>
            <w:r>
              <w:rPr>
                <w:color w:val="555555"/>
                <w:sz w:val="14"/>
                <w:szCs w:val="14"/>
              </w:rPr>
              <w:t>. mensual</w:t>
            </w:r>
          </w:p>
        </w:tc>
        <w:tc>
          <w:tcPr>
            <w:tcW w:w="1560" w:type="dxa"/>
            <w:tcBorders>
              <w:top w:val="single" w:sz="1" w:space="0" w:color="CCCCCC"/>
              <w:left w:val="single" w:sz="1" w:space="0" w:color="CCCCCC"/>
              <w:bottom w:val="single" w:sz="1" w:space="0" w:color="CCCCCC"/>
              <w:right w:val="single" w:sz="1" w:space="0" w:color="CCCCCC"/>
            </w:tcBorders>
            <w:shd w:val="clear" w:color="auto" w:fill="E8F4F8"/>
            <w:tcMar>
              <w:top w:w="60" w:type="dxa"/>
              <w:left w:w="80" w:type="dxa"/>
              <w:bottom w:w="60" w:type="dxa"/>
              <w:right w:w="80" w:type="dxa"/>
            </w:tcMar>
          </w:tcPr>
          <w:p w14:paraId="617443D0" w14:textId="77777777" w:rsidR="00924AD2" w:rsidRDefault="00000000">
            <w:pPr>
              <w:spacing w:after="40"/>
              <w:jc w:val="center"/>
            </w:pPr>
            <w:r>
              <w:rPr>
                <w:b/>
                <w:bCs/>
                <w:color w:val="00A3E0"/>
                <w:sz w:val="26"/>
                <w:szCs w:val="26"/>
              </w:rPr>
              <w:t>+5,5%</w:t>
            </w:r>
          </w:p>
          <w:p w14:paraId="445A61A6" w14:textId="77777777" w:rsidR="00924AD2" w:rsidRDefault="00000000">
            <w:pPr>
              <w:spacing w:after="20"/>
              <w:jc w:val="center"/>
            </w:pPr>
            <w:r>
              <w:rPr>
                <w:b/>
                <w:bCs/>
                <w:sz w:val="16"/>
                <w:szCs w:val="16"/>
              </w:rPr>
              <w:t xml:space="preserve">EMAE Marzo </w:t>
            </w:r>
            <w:proofErr w:type="spellStart"/>
            <w:r>
              <w:rPr>
                <w:b/>
                <w:bCs/>
                <w:sz w:val="16"/>
                <w:szCs w:val="16"/>
              </w:rPr>
              <w:t>i.a</w:t>
            </w:r>
            <w:proofErr w:type="spellEnd"/>
            <w:r>
              <w:rPr>
                <w:b/>
                <w:bCs/>
                <w:sz w:val="16"/>
                <w:szCs w:val="16"/>
              </w:rPr>
              <w:t>.</w:t>
            </w:r>
          </w:p>
          <w:p w14:paraId="5A60E409" w14:textId="77777777" w:rsidR="00924AD2" w:rsidRDefault="00000000">
            <w:pPr>
              <w:jc w:val="center"/>
            </w:pPr>
            <w:r>
              <w:rPr>
                <w:color w:val="555555"/>
                <w:sz w:val="14"/>
                <w:szCs w:val="14"/>
              </w:rPr>
              <w:t>último disponible</w:t>
            </w:r>
          </w:p>
        </w:tc>
        <w:tc>
          <w:tcPr>
            <w:tcW w:w="1560" w:type="dxa"/>
            <w:tcBorders>
              <w:top w:val="single" w:sz="1" w:space="0" w:color="CCCCCC"/>
              <w:left w:val="single" w:sz="1" w:space="0" w:color="CCCCCC"/>
              <w:bottom w:val="single" w:sz="1" w:space="0" w:color="CCCCCC"/>
              <w:right w:val="single" w:sz="1" w:space="0" w:color="CCCCCC"/>
            </w:tcBorders>
            <w:shd w:val="clear" w:color="auto" w:fill="E8F4F8"/>
            <w:tcMar>
              <w:top w:w="60" w:type="dxa"/>
              <w:left w:w="80" w:type="dxa"/>
              <w:bottom w:w="60" w:type="dxa"/>
              <w:right w:w="80" w:type="dxa"/>
            </w:tcMar>
          </w:tcPr>
          <w:p w14:paraId="52191917" w14:textId="77777777" w:rsidR="00924AD2" w:rsidRDefault="00000000">
            <w:pPr>
              <w:spacing w:after="40"/>
              <w:jc w:val="center"/>
            </w:pPr>
            <w:r>
              <w:rPr>
                <w:b/>
                <w:bCs/>
                <w:color w:val="00A3E0"/>
                <w:sz w:val="26"/>
                <w:szCs w:val="26"/>
              </w:rPr>
              <w:t>USD 2.711M</w:t>
            </w:r>
          </w:p>
          <w:p w14:paraId="27E46FCF" w14:textId="77777777" w:rsidR="00924AD2" w:rsidRDefault="00000000">
            <w:pPr>
              <w:spacing w:after="20"/>
              <w:jc w:val="center"/>
            </w:pPr>
            <w:r>
              <w:rPr>
                <w:b/>
                <w:bCs/>
                <w:sz w:val="16"/>
                <w:szCs w:val="16"/>
              </w:rPr>
              <w:t>Superávit Comercial</w:t>
            </w:r>
          </w:p>
          <w:p w14:paraId="01A2139F" w14:textId="77777777" w:rsidR="00924AD2" w:rsidRDefault="00000000">
            <w:pPr>
              <w:jc w:val="center"/>
            </w:pPr>
            <w:r>
              <w:rPr>
                <w:color w:val="555555"/>
                <w:sz w:val="14"/>
                <w:szCs w:val="14"/>
              </w:rPr>
              <w:t>abril 2026 · récord</w:t>
            </w:r>
          </w:p>
        </w:tc>
        <w:tc>
          <w:tcPr>
            <w:tcW w:w="1560" w:type="dxa"/>
            <w:tcBorders>
              <w:top w:val="single" w:sz="1" w:space="0" w:color="CCCCCC"/>
              <w:left w:val="single" w:sz="1" w:space="0" w:color="CCCCCC"/>
              <w:bottom w:val="single" w:sz="1" w:space="0" w:color="CCCCCC"/>
              <w:right w:val="single" w:sz="1" w:space="0" w:color="CCCCCC"/>
            </w:tcBorders>
            <w:shd w:val="clear" w:color="auto" w:fill="E8F4F8"/>
            <w:tcMar>
              <w:top w:w="60" w:type="dxa"/>
              <w:left w:w="80" w:type="dxa"/>
              <w:bottom w:w="60" w:type="dxa"/>
              <w:right w:w="80" w:type="dxa"/>
            </w:tcMar>
          </w:tcPr>
          <w:p w14:paraId="41D76FD0" w14:textId="77777777" w:rsidR="00924AD2" w:rsidRDefault="00000000">
            <w:pPr>
              <w:spacing w:after="40"/>
              <w:jc w:val="center"/>
            </w:pPr>
            <w:r>
              <w:rPr>
                <w:b/>
                <w:bCs/>
                <w:color w:val="00A3E0"/>
                <w:sz w:val="26"/>
                <w:szCs w:val="26"/>
              </w:rPr>
              <w:t>USD 47.800M+</w:t>
            </w:r>
          </w:p>
          <w:p w14:paraId="00E9491F" w14:textId="77777777" w:rsidR="00924AD2" w:rsidRDefault="00000000">
            <w:pPr>
              <w:spacing w:after="20"/>
              <w:jc w:val="center"/>
            </w:pPr>
            <w:r>
              <w:rPr>
                <w:b/>
                <w:bCs/>
                <w:sz w:val="16"/>
                <w:szCs w:val="16"/>
              </w:rPr>
              <w:t>Reservas BCRA</w:t>
            </w:r>
          </w:p>
          <w:p w14:paraId="10A6DEF1" w14:textId="77777777" w:rsidR="00924AD2" w:rsidRDefault="00000000">
            <w:pPr>
              <w:jc w:val="center"/>
            </w:pPr>
            <w:r>
              <w:rPr>
                <w:color w:val="555555"/>
                <w:sz w:val="14"/>
                <w:szCs w:val="14"/>
              </w:rPr>
              <w:t>junio temprano</w:t>
            </w:r>
          </w:p>
        </w:tc>
        <w:tc>
          <w:tcPr>
            <w:tcW w:w="1560" w:type="dxa"/>
            <w:tcBorders>
              <w:top w:val="single" w:sz="1" w:space="0" w:color="CCCCCC"/>
              <w:left w:val="single" w:sz="1" w:space="0" w:color="CCCCCC"/>
              <w:bottom w:val="single" w:sz="1" w:space="0" w:color="CCCCCC"/>
              <w:right w:val="single" w:sz="1" w:space="0" w:color="CCCCCC"/>
            </w:tcBorders>
            <w:shd w:val="clear" w:color="auto" w:fill="E8F4F8"/>
            <w:tcMar>
              <w:top w:w="60" w:type="dxa"/>
              <w:left w:w="80" w:type="dxa"/>
              <w:bottom w:w="60" w:type="dxa"/>
              <w:right w:w="80" w:type="dxa"/>
            </w:tcMar>
          </w:tcPr>
          <w:p w14:paraId="6CC36B43" w14:textId="77777777" w:rsidR="00924AD2" w:rsidRDefault="00000000">
            <w:pPr>
              <w:spacing w:after="40"/>
              <w:jc w:val="center"/>
            </w:pPr>
            <w:r>
              <w:rPr>
                <w:b/>
                <w:bCs/>
                <w:color w:val="00A3E0"/>
                <w:sz w:val="26"/>
                <w:szCs w:val="26"/>
              </w:rPr>
              <w:t>$632.844M</w:t>
            </w:r>
          </w:p>
          <w:p w14:paraId="1FF6D906" w14:textId="77777777" w:rsidR="00924AD2" w:rsidRDefault="00000000">
            <w:pPr>
              <w:spacing w:after="20"/>
              <w:jc w:val="center"/>
            </w:pPr>
            <w:r>
              <w:rPr>
                <w:b/>
                <w:bCs/>
                <w:sz w:val="16"/>
                <w:szCs w:val="16"/>
              </w:rPr>
              <w:t>Superávit Primario</w:t>
            </w:r>
          </w:p>
          <w:p w14:paraId="5BF077CC" w14:textId="77777777" w:rsidR="00924AD2" w:rsidRDefault="00000000">
            <w:pPr>
              <w:jc w:val="center"/>
            </w:pPr>
            <w:r>
              <w:rPr>
                <w:color w:val="555555"/>
                <w:sz w:val="14"/>
                <w:szCs w:val="14"/>
              </w:rPr>
              <w:t>abril 2026</w:t>
            </w:r>
          </w:p>
        </w:tc>
        <w:tc>
          <w:tcPr>
            <w:tcW w:w="1560" w:type="dxa"/>
            <w:tcBorders>
              <w:top w:val="single" w:sz="1" w:space="0" w:color="CCCCCC"/>
              <w:left w:val="single" w:sz="1" w:space="0" w:color="CCCCCC"/>
              <w:bottom w:val="single" w:sz="1" w:space="0" w:color="CCCCCC"/>
              <w:right w:val="single" w:sz="1" w:space="0" w:color="CCCCCC"/>
            </w:tcBorders>
            <w:shd w:val="clear" w:color="auto" w:fill="E8F4F8"/>
            <w:tcMar>
              <w:top w:w="60" w:type="dxa"/>
              <w:left w:w="80" w:type="dxa"/>
              <w:bottom w:w="60" w:type="dxa"/>
              <w:right w:w="80" w:type="dxa"/>
            </w:tcMar>
          </w:tcPr>
          <w:p w14:paraId="3330A4ED" w14:textId="77777777" w:rsidR="00924AD2" w:rsidRDefault="00000000">
            <w:pPr>
              <w:spacing w:after="40"/>
              <w:jc w:val="center"/>
            </w:pPr>
            <w:r>
              <w:rPr>
                <w:b/>
                <w:bCs/>
                <w:color w:val="00A3E0"/>
                <w:sz w:val="26"/>
                <w:szCs w:val="26"/>
              </w:rPr>
              <w:t>~14,7%</w:t>
            </w:r>
          </w:p>
          <w:p w14:paraId="6C33ED70" w14:textId="77777777" w:rsidR="00924AD2" w:rsidRDefault="00000000">
            <w:pPr>
              <w:spacing w:after="20"/>
              <w:jc w:val="center"/>
            </w:pPr>
            <w:r>
              <w:rPr>
                <w:b/>
                <w:bCs/>
                <w:sz w:val="16"/>
                <w:szCs w:val="16"/>
              </w:rPr>
              <w:t xml:space="preserve">IPC </w:t>
            </w:r>
            <w:proofErr w:type="spellStart"/>
            <w:r>
              <w:rPr>
                <w:b/>
                <w:bCs/>
                <w:sz w:val="16"/>
                <w:szCs w:val="16"/>
              </w:rPr>
              <w:t>Acum</w:t>
            </w:r>
            <w:proofErr w:type="spellEnd"/>
            <w:r>
              <w:rPr>
                <w:b/>
                <w:bCs/>
                <w:sz w:val="16"/>
                <w:szCs w:val="16"/>
              </w:rPr>
              <w:t>. 2026</w:t>
            </w:r>
          </w:p>
          <w:p w14:paraId="1F28DD9F" w14:textId="77777777" w:rsidR="00924AD2" w:rsidRDefault="00000000">
            <w:pPr>
              <w:jc w:val="center"/>
            </w:pPr>
            <w:r>
              <w:rPr>
                <w:color w:val="555555"/>
                <w:sz w:val="14"/>
                <w:szCs w:val="14"/>
              </w:rPr>
              <w:t>ene-</w:t>
            </w:r>
            <w:proofErr w:type="spellStart"/>
            <w:r>
              <w:rPr>
                <w:color w:val="555555"/>
                <w:sz w:val="14"/>
                <w:szCs w:val="14"/>
              </w:rPr>
              <w:t>may</w:t>
            </w:r>
            <w:proofErr w:type="spellEnd"/>
          </w:p>
        </w:tc>
      </w:tr>
    </w:tbl>
    <w:p w14:paraId="6B2768DC" w14:textId="77777777" w:rsidR="00924AD2" w:rsidRDefault="00924AD2">
      <w:pPr>
        <w:spacing w:after="120"/>
      </w:pPr>
    </w:p>
    <w:p w14:paraId="61EEBD6D" w14:textId="404A90B2" w:rsidR="00924AD2" w:rsidRDefault="00000000">
      <w:pPr>
        <w:pStyle w:val="Ttulo2"/>
      </w:pPr>
      <w:r>
        <w:t xml:space="preserve">Estructural vs. Coyuntural </w:t>
      </w:r>
    </w:p>
    <w:p w14:paraId="1EE5E208" w14:textId="77777777" w:rsidR="00924AD2" w:rsidRDefault="00000000">
      <w:pPr>
        <w:spacing w:after="120"/>
      </w:pPr>
      <w:r>
        <w:t>Diferenciamos siempre los cimientos estables de los hechos dinámicos del mes:</w:t>
      </w:r>
    </w:p>
    <w:p w14:paraId="741D01CE" w14:textId="77777777" w:rsidR="00924AD2" w:rsidRDefault="00000000">
      <w:pPr>
        <w:spacing w:after="60"/>
        <w:ind w:left="360"/>
      </w:pPr>
      <w:r>
        <w:t>• Estructural (cimientos): superávit gemelos sostenidos, esquema de banda cambiaria con flotación administrada, marco institucional INDEC/BCRA/FMI con revisiones aprobadas y disciplina fiscal explícita (meta 1,4% PBI). Estos elementos no dependen de un mes particular y generan previsibilidad.</w:t>
      </w:r>
    </w:p>
    <w:p w14:paraId="17DB1ED2" w14:textId="77777777" w:rsidR="00924AD2" w:rsidRDefault="00000000">
      <w:pPr>
        <w:spacing w:after="60"/>
        <w:ind w:left="360"/>
      </w:pPr>
      <w:r>
        <w:t>• Coyuntural (dinámica del mes): recuperación liderada por transables (agro por cosecha gruesa, Vaca Muerta/energía, minería) que aportan divisas y acumulación de reservas; consumo interno a dos velocidades (caída en canal físico pyme y grandes superficies vs. expansión digital/e-</w:t>
      </w:r>
      <w:proofErr w:type="spellStart"/>
      <w:r>
        <w:t>commerce</w:t>
      </w:r>
      <w:proofErr w:type="spellEnd"/>
      <w:r>
        <w:t xml:space="preserve"> y bienes durables).</w:t>
      </w:r>
    </w:p>
    <w:p w14:paraId="4C3A0FD1" w14:textId="77777777" w:rsidR="00924AD2" w:rsidRDefault="00000000">
      <w:pPr>
        <w:spacing w:after="120"/>
      </w:pPr>
      <w:r>
        <w:t>Esta distinción es central: los superávits y la banda son condiciones necesarias para la estabilidad nominal de más largo plazo; la heterogeneidad de la recuperación es el dato de corto plazo que debe monitorearse para calibrar políticas y expectativas.</w:t>
      </w:r>
    </w:p>
    <w:p w14:paraId="6A7DA13C" w14:textId="77777777" w:rsidR="00924AD2" w:rsidRDefault="00924AD2">
      <w:pPr>
        <w:spacing w:before="160"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924AD2" w14:paraId="07EB22D6" w14:textId="77777777">
        <w:tblPrEx>
          <w:tblCellMar>
            <w:top w:w="0" w:type="dxa"/>
            <w:bottom w:w="0" w:type="dxa"/>
          </w:tblCellMar>
        </w:tblPrEx>
        <w:tc>
          <w:tcPr>
            <w:tcW w:w="9360" w:type="dxa"/>
            <w:tcBorders>
              <w:top w:val="single" w:sz="12" w:space="0" w:color="00A3E0"/>
              <w:left w:val="single" w:sz="12" w:space="0" w:color="00A3E0"/>
              <w:bottom w:val="single" w:sz="12" w:space="0" w:color="00A3E0"/>
              <w:right w:val="single" w:sz="12" w:space="0" w:color="00A3E0"/>
            </w:tcBorders>
            <w:shd w:val="clear" w:color="auto" w:fill="F0F8FF"/>
            <w:tcMar>
              <w:top w:w="100" w:type="dxa"/>
              <w:left w:w="140" w:type="dxa"/>
              <w:bottom w:w="100" w:type="dxa"/>
              <w:right w:w="140" w:type="dxa"/>
            </w:tcMar>
          </w:tcPr>
          <w:p w14:paraId="709F729B" w14:textId="77777777" w:rsidR="00924AD2" w:rsidRDefault="00000000">
            <w:pPr>
              <w:spacing w:after="80"/>
            </w:pPr>
            <w:r>
              <w:rPr>
                <w:b/>
                <w:bCs/>
                <w:color w:val="00A3E0"/>
              </w:rPr>
              <w:t>📌 Output Gap estimado (~ -0,5% a -0,8% en 1T-2T 2026)</w:t>
            </w:r>
          </w:p>
          <w:p w14:paraId="2FFC8F28" w14:textId="77777777" w:rsidR="00924AD2" w:rsidRDefault="00000000">
            <w:pPr>
              <w:spacing w:after="60"/>
            </w:pPr>
            <w:r>
              <w:t>Utilizando filtro Hodrick-Prescott sobre series de EMAE/PBI desestacionalizado (base 2010-2025) y datos INDEC, el output gap se ubica levemente negativo.</w:t>
            </w:r>
          </w:p>
          <w:p w14:paraId="070CCC46" w14:textId="77777777" w:rsidR="00924AD2" w:rsidRDefault="00000000">
            <w:pPr>
              <w:spacing w:after="60"/>
            </w:pPr>
            <w:r>
              <w:t>Implicancia: existe holgura de capacidad instalada que permite absorber recuperación de la demanda sin generar presiones inflacionarias fuertes de origen interno en el corto plazo.</w:t>
            </w:r>
          </w:p>
          <w:p w14:paraId="11054BA3" w14:textId="77777777" w:rsidR="00924AD2" w:rsidRDefault="00000000">
            <w:pPr>
              <w:spacing w:after="60"/>
            </w:pPr>
            <w:r>
              <w:t>Clasificación de indicadores (aplicable a todas las secciones):</w:t>
            </w:r>
          </w:p>
          <w:p w14:paraId="13335428" w14:textId="77777777" w:rsidR="00924AD2" w:rsidRDefault="00000000">
            <w:pPr>
              <w:spacing w:after="60"/>
            </w:pPr>
            <w:r>
              <w:t>• Leading: compras BCRA en MLC, superávit comercial, términos de intercambio.</w:t>
            </w:r>
          </w:p>
          <w:p w14:paraId="33302EE4" w14:textId="77777777" w:rsidR="00924AD2" w:rsidRDefault="00000000">
            <w:pPr>
              <w:spacing w:after="60"/>
            </w:pPr>
            <w:r>
              <w:t xml:space="preserve">• </w:t>
            </w:r>
            <w:proofErr w:type="spellStart"/>
            <w:r>
              <w:t>Coincident</w:t>
            </w:r>
            <w:proofErr w:type="spellEnd"/>
            <w:r>
              <w:t>: IPC núcleo, EMAE, recaudación real.</w:t>
            </w:r>
          </w:p>
          <w:p w14:paraId="5A83A8AF" w14:textId="77777777" w:rsidR="00924AD2" w:rsidRDefault="00000000">
            <w:pPr>
              <w:spacing w:after="60"/>
            </w:pPr>
            <w:r>
              <w:t xml:space="preserve">• </w:t>
            </w:r>
            <w:proofErr w:type="spellStart"/>
            <w:r>
              <w:t>Lagging</w:t>
            </w:r>
            <w:proofErr w:type="spellEnd"/>
            <w:r>
              <w:t>: superávit primario acumulado, desempleo (4T25: 7,5%).</w:t>
            </w:r>
          </w:p>
        </w:tc>
      </w:tr>
    </w:tbl>
    <w:p w14:paraId="62A41660" w14:textId="77777777" w:rsidR="00924AD2" w:rsidRDefault="00924AD2">
      <w:pPr>
        <w:spacing w:before="120" w:after="120"/>
      </w:pPr>
    </w:p>
    <w:p w14:paraId="4BFB4847" w14:textId="77777777" w:rsidR="00924AD2" w:rsidRDefault="00000000">
      <w:pPr>
        <w:spacing w:after="120"/>
      </w:pPr>
      <w:r>
        <w:t>Para el trimestre junio-agosto 2026 el escenario base contempla inflación mensual en rango 1,9%-2,3%, tipo de cambio mayorista moviéndose dentro de la banda sin correcciones discretas, y exportaciones que se mantienen elevadas aunque con moderación estacional post-cosecha. El consumo heterogéneo persistirá mientras no se recupere el poder adquisitivo de los segmentos más afectados por el ajuste público y la compresión del canal físico.</w:t>
      </w:r>
    </w:p>
    <w:p w14:paraId="1FB14332" w14:textId="77777777" w:rsidR="00140DFC" w:rsidRDefault="00140DFC">
      <w:pPr>
        <w:spacing w:after="120"/>
      </w:pPr>
    </w:p>
    <w:p w14:paraId="51C09FC4" w14:textId="77777777" w:rsidR="00924AD2" w:rsidRDefault="00000000">
      <w:pPr>
        <w:pStyle w:val="Ttulo1"/>
      </w:pPr>
      <w:r>
        <w:lastRenderedPageBreak/>
        <w:t>1. Actividad Económica</w:t>
      </w:r>
    </w:p>
    <w:p w14:paraId="65BE0DE0" w14:textId="77777777" w:rsidR="00924AD2" w:rsidRDefault="00000000">
      <w:pPr>
        <w:spacing w:after="120"/>
      </w:pPr>
      <w:r>
        <w:t>La actividad económica mostró en marzo la señal de recuperación más clara del año (+3,5% mensual desestacionalizado y +5,5% interanual). El EMAE alcanzó nuevo máximo histórico desestacionalizado. La composición sectorial confirma el sesgo transable: agro, energía (Vaca Muerta) y minería lideran, mientras la administración pública es el único sector en terreno negativo.</w:t>
      </w:r>
    </w:p>
    <w:p w14:paraId="47273BE4" w14:textId="77777777" w:rsidR="00924AD2" w:rsidRDefault="00000000">
      <w:pPr>
        <w:spacing w:before="160" w:after="80"/>
      </w:pPr>
      <w:r>
        <w:rPr>
          <w:b/>
          <w:bCs/>
          <w:color w:val="333333"/>
          <w:sz w:val="21"/>
          <w:szCs w:val="21"/>
        </w:rPr>
        <w:t>EMAE — Marzo 2026 (último dato oficial disponible)</w:t>
      </w:r>
    </w:p>
    <w:p w14:paraId="47317AC9" w14:textId="77777777" w:rsidR="00924AD2" w:rsidRDefault="00000000">
      <w:pPr>
        <w:spacing w:after="60"/>
        <w:ind w:left="360"/>
      </w:pPr>
      <w:r>
        <w:t>• Variación mensual desestacionalizada: +3,5% (revirtió caída de 2,1% de febrero).</w:t>
      </w:r>
    </w:p>
    <w:p w14:paraId="50404C82" w14:textId="77777777" w:rsidR="00924AD2" w:rsidRDefault="00000000">
      <w:pPr>
        <w:spacing w:after="60"/>
        <w:ind w:left="360"/>
      </w:pPr>
      <w:r>
        <w:t>• Variación interanual: +5,5% (mayor ritmo del año).</w:t>
      </w:r>
    </w:p>
    <w:p w14:paraId="4DC3E8BF" w14:textId="77777777" w:rsidR="00924AD2" w:rsidRDefault="00000000">
      <w:pPr>
        <w:spacing w:after="60"/>
        <w:ind w:left="360"/>
      </w:pPr>
      <w:r>
        <w:t>• Acumulado 1T26: +1,7% interanual.</w:t>
      </w:r>
    </w:p>
    <w:p w14:paraId="6FC4D933" w14:textId="77777777" w:rsidR="00924AD2" w:rsidRDefault="00000000">
      <w:pPr>
        <w:spacing w:before="160" w:after="80"/>
      </w:pPr>
      <w:r>
        <w:rPr>
          <w:b/>
          <w:bCs/>
          <w:color w:val="333333"/>
          <w:sz w:val="21"/>
          <w:szCs w:val="21"/>
        </w:rPr>
        <w:t>Sectores con mayor incidencia positiva (</w:t>
      </w:r>
      <w:proofErr w:type="spellStart"/>
      <w:r>
        <w:rPr>
          <w:b/>
          <w:bCs/>
          <w:color w:val="333333"/>
          <w:sz w:val="21"/>
          <w:szCs w:val="21"/>
        </w:rPr>
        <w:t>i.a</w:t>
      </w:r>
      <w:proofErr w:type="spellEnd"/>
      <w:r>
        <w:rPr>
          <w:b/>
          <w:bCs/>
          <w:color w:val="333333"/>
          <w:sz w:val="21"/>
          <w:szCs w:val="21"/>
        </w:rPr>
        <w:t>. marzo)</w:t>
      </w:r>
    </w:p>
    <w:p w14:paraId="6DCD765B" w14:textId="77777777" w:rsidR="00924AD2" w:rsidRDefault="00000000">
      <w:pPr>
        <w:spacing w:after="60"/>
        <w:ind w:left="360"/>
      </w:pPr>
      <w:r>
        <w:t>• Agricultura, ganadería y silvicultura: +17,9% (mayor aportante).</w:t>
      </w:r>
    </w:p>
    <w:p w14:paraId="7E427292" w14:textId="77777777" w:rsidR="00924AD2" w:rsidRDefault="00000000">
      <w:pPr>
        <w:spacing w:after="60"/>
        <w:ind w:left="360"/>
      </w:pPr>
      <w:r>
        <w:t>• Explotación de minas y canteras: +16,3% (Vaca Muerta).</w:t>
      </w:r>
    </w:p>
    <w:p w14:paraId="5632526F" w14:textId="77777777" w:rsidR="00924AD2" w:rsidRDefault="00000000">
      <w:pPr>
        <w:spacing w:after="60"/>
        <w:ind w:left="360"/>
      </w:pPr>
      <w:r>
        <w:t>• Intermediación financiera: +8,8%.</w:t>
      </w:r>
    </w:p>
    <w:p w14:paraId="63914EDA" w14:textId="77777777" w:rsidR="00924AD2" w:rsidRDefault="00000000">
      <w:pPr>
        <w:spacing w:after="60"/>
        <w:ind w:left="360"/>
      </w:pPr>
      <w:r>
        <w:t>• Construcción: +7,6%.</w:t>
      </w:r>
    </w:p>
    <w:p w14:paraId="588AFBED" w14:textId="77777777" w:rsidR="00924AD2" w:rsidRDefault="00000000">
      <w:pPr>
        <w:spacing w:after="60"/>
        <w:ind w:left="360"/>
      </w:pPr>
      <w:r>
        <w:t>• Industria manufacturera: +4,6%.</w:t>
      </w:r>
    </w:p>
    <w:p w14:paraId="66EFA12A" w14:textId="77777777" w:rsidR="00924AD2" w:rsidRDefault="00000000">
      <w:pPr>
        <w:spacing w:after="60"/>
        <w:ind w:left="360"/>
      </w:pPr>
      <w:r>
        <w:t>• Administración pública y defensa: -1,2% (único negativo).</w:t>
      </w:r>
    </w:p>
    <w:p w14:paraId="1206C1F2" w14:textId="77777777" w:rsidR="00924AD2" w:rsidRDefault="00924AD2">
      <w:pPr>
        <w:spacing w:after="120"/>
      </w:pPr>
    </w:p>
    <w:p w14:paraId="284B13CB" w14:textId="77777777" w:rsidR="00924AD2" w:rsidRDefault="00000000">
      <w:pPr>
        <w:spacing w:before="120" w:after="120"/>
        <w:jc w:val="center"/>
      </w:pPr>
      <w:r>
        <w:rPr>
          <w:noProof/>
        </w:rPr>
        <w:drawing>
          <wp:inline distT="0" distB="0" distL="0" distR="0" wp14:anchorId="44AA244B" wp14:editId="4E3F22C4">
            <wp:extent cx="4953000" cy="2000250"/>
            <wp:effectExtent l="0" t="0" r="0" b="0"/>
            <wp:docPr id="1" name="junio2026-emae.png" descr="Gráfico MacroLibre Junio 2026" title="junio2026-ema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953000" cy="2000250"/>
                    </a:xfrm>
                    <a:prstGeom prst="rect">
                      <a:avLst/>
                    </a:prstGeom>
                  </pic:spPr>
                </pic:pic>
              </a:graphicData>
            </a:graphic>
          </wp:inline>
        </w:drawing>
      </w:r>
    </w:p>
    <w:p w14:paraId="63431308" w14:textId="77777777" w:rsidR="00924AD2" w:rsidRDefault="00000000">
      <w:pPr>
        <w:spacing w:after="120"/>
      </w:pPr>
      <w:r>
        <w:t xml:space="preserve">Nota: el EMAE preliminar de abril 2026 se publicará el 29 de junio según calendario INDEC. Para proyecciones de coyuntura se utilizan indicadores de alta frecuencia (despachos de cemento, patentamientos de autos, recaudación tributaria real, consumo de energía). Los </w:t>
      </w:r>
      <w:proofErr w:type="spellStart"/>
      <w:r>
        <w:t>proxies</w:t>
      </w:r>
      <w:proofErr w:type="spellEnd"/>
      <w:r>
        <w:t xml:space="preserve"> a mitad de junio sugieren que el rebote en transables continúa, aunque con menor intensidad que en marzo.</w:t>
      </w:r>
    </w:p>
    <w:p w14:paraId="1F3E1444" w14:textId="77777777" w:rsidR="00924AD2" w:rsidRDefault="00000000">
      <w:pPr>
        <w:spacing w:before="160" w:after="80"/>
      </w:pPr>
      <w:r>
        <w:rPr>
          <w:b/>
          <w:bCs/>
          <w:color w:val="333333"/>
          <w:sz w:val="21"/>
          <w:szCs w:val="21"/>
        </w:rPr>
        <w:t>Consumo: heterogeneidad estructural (recuadro técnico)</w:t>
      </w:r>
    </w:p>
    <w:p w14:paraId="2B9C3FEF" w14:textId="77777777" w:rsidR="00924AD2" w:rsidRDefault="00000000">
      <w:pPr>
        <w:spacing w:after="120"/>
      </w:pPr>
      <w:r>
        <w:t xml:space="preserve">Los datos de consumo privado no muestran una foto uniforme. Mientras CAME registra 12 meses consecutivos de caída en ventas minoristas pyme (-3,5% acumulado al cuatrimestre) y los supermercados/shoppings del INDEC exhiben bajas reales de 5-13% </w:t>
      </w:r>
      <w:proofErr w:type="spellStart"/>
      <w:r>
        <w:t>i.a</w:t>
      </w:r>
      <w:proofErr w:type="spellEnd"/>
      <w:r>
        <w:t>., el consumo privado agregado de cuentas nacionales alcanzó máximos históricos en 4T25 y el e-</w:t>
      </w:r>
      <w:proofErr w:type="spellStart"/>
      <w:r>
        <w:t>commerce</w:t>
      </w:r>
      <w:proofErr w:type="spellEnd"/>
      <w:r>
        <w:t xml:space="preserve"> crece a tasas de 20-40% real interanual según CACE, </w:t>
      </w:r>
      <w:proofErr w:type="spellStart"/>
      <w:r>
        <w:t>Tiendanube</w:t>
      </w:r>
      <w:proofErr w:type="spellEnd"/>
      <w:r>
        <w:t xml:space="preserve"> y Mercado Libre.</w:t>
      </w:r>
    </w:p>
    <w:p w14:paraId="244D7563" w14:textId="77777777" w:rsidR="00924AD2" w:rsidRDefault="00000000">
      <w:pPr>
        <w:spacing w:after="120"/>
      </w:pPr>
      <w:r>
        <w:t xml:space="preserve">La división relevante no es 'cae o no cae' el consumo, sino quién consume y por qué canal: el ajuste se concentra en el sector público (empleo -13% desde dic-23, salarios reales 17% por debajo del nivel pre-Milei) y en el comercio físico tradicional, mientras bienes durables, turismo emisivo, </w:t>
      </w:r>
      <w:proofErr w:type="spellStart"/>
      <w:r>
        <w:t>marketplaces</w:t>
      </w:r>
      <w:proofErr w:type="spellEnd"/>
      <w:r>
        <w:t xml:space="preserve"> y pagos digitales (billeteras +47% </w:t>
      </w:r>
      <w:proofErr w:type="spellStart"/>
      <w:r>
        <w:t>i.a</w:t>
      </w:r>
      <w:proofErr w:type="spellEnd"/>
      <w:r>
        <w:t>. en supermercados) muestran expansión clara.</w:t>
      </w:r>
    </w:p>
    <w:p w14:paraId="4A9D2E55" w14:textId="77777777" w:rsidR="00924AD2" w:rsidRDefault="00000000">
      <w:pPr>
        <w:spacing w:after="120"/>
      </w:pPr>
      <w:r>
        <w:t>Esto es consistente con una economía que se reorganiza alrededor de precios relativos de mercado: los sectores expuestos a la demanda externa y a la eficiencia digital ganan participación; los protegidos por gasto público o por ineficiencias de canal físico pierden.</w:t>
      </w:r>
    </w:p>
    <w:p w14:paraId="309933E7" w14:textId="77777777" w:rsidR="00140DFC" w:rsidRDefault="00140DFC">
      <w:pPr>
        <w:spacing w:after="120"/>
      </w:pPr>
    </w:p>
    <w:p w14:paraId="0B0744C7" w14:textId="77777777" w:rsidR="00924AD2" w:rsidRDefault="00000000">
      <w:pPr>
        <w:pStyle w:val="Ttulo1"/>
      </w:pPr>
      <w:r>
        <w:lastRenderedPageBreak/>
        <w:t>2. Precios — Inflación</w:t>
      </w:r>
    </w:p>
    <w:p w14:paraId="30E64E3A" w14:textId="77777777" w:rsidR="00924AD2" w:rsidRDefault="00000000">
      <w:pPr>
        <w:spacing w:after="120"/>
      </w:pPr>
      <w:r>
        <w:t>La inflación de mayo confirmó una nueva desaceleración del nivel general, en línea con la tendencia del primer cuatrimestre y con el dato de IPC núcleo más moderado. El registro de 2,1% mensual es el más bajo del año hasta ahora y reduce el acumulado 2026 a ~14,7%.</w:t>
      </w:r>
    </w:p>
    <w:p w14:paraId="0E53C8F0" w14:textId="77777777" w:rsidR="00924AD2" w:rsidRDefault="00000000">
      <w:pPr>
        <w:spacing w:before="160" w:after="80"/>
      </w:pPr>
      <w:r>
        <w:rPr>
          <w:b/>
          <w:bCs/>
          <w:color w:val="333333"/>
          <w:sz w:val="21"/>
          <w:szCs w:val="21"/>
        </w:rPr>
        <w:t>IPC Mayo 2026 — INDEC (publicado 11/06/2026)</w:t>
      </w:r>
    </w:p>
    <w:p w14:paraId="3F5045B3" w14:textId="77777777" w:rsidR="00924AD2" w:rsidRDefault="00000000">
      <w:pPr>
        <w:spacing w:after="60"/>
        <w:ind w:left="360"/>
      </w:pPr>
      <w:r>
        <w:t>• IPC Nivel General: 2,1% mensual | ~32% interanual (</w:t>
      </w:r>
      <w:proofErr w:type="spellStart"/>
      <w:r>
        <w:t>estim</w:t>
      </w:r>
      <w:proofErr w:type="spellEnd"/>
      <w:r>
        <w:t>.) | Acumulado 2026: ~14,7%.</w:t>
      </w:r>
    </w:p>
    <w:p w14:paraId="058ECBCF" w14:textId="77777777" w:rsidR="00924AD2" w:rsidRDefault="00000000">
      <w:pPr>
        <w:spacing w:after="60"/>
        <w:ind w:left="360"/>
      </w:pPr>
      <w:r>
        <w:t>• IPC Núcleo: ~2,0% mensual (más contenido que el general).</w:t>
      </w:r>
    </w:p>
    <w:p w14:paraId="522D6744" w14:textId="77777777" w:rsidR="00924AD2" w:rsidRDefault="00000000">
      <w:pPr>
        <w:spacing w:after="60"/>
        <w:ind w:left="360"/>
      </w:pPr>
      <w:r>
        <w:t>• Regulados: principal driver residual (aunque con menor presión que abril).</w:t>
      </w:r>
    </w:p>
    <w:p w14:paraId="32DF75D8" w14:textId="77777777" w:rsidR="00924AD2" w:rsidRDefault="00000000">
      <w:pPr>
        <w:spacing w:after="60"/>
        <w:ind w:left="360"/>
      </w:pPr>
      <w:r>
        <w:t>• Estacionales: contribución baja.</w:t>
      </w:r>
    </w:p>
    <w:p w14:paraId="41B8A6A7" w14:textId="77777777" w:rsidR="00924AD2" w:rsidRDefault="00000000">
      <w:pPr>
        <w:spacing w:after="60"/>
        <w:ind w:left="360"/>
      </w:pPr>
      <w:r>
        <w:t>• IPIM (Mayorista): se mantiene como señal de alerta (en abril duplicó al minorista; mayo pendiente de traslado).</w:t>
      </w:r>
    </w:p>
    <w:p w14:paraId="63DE1D92" w14:textId="77777777" w:rsidR="00924AD2" w:rsidRDefault="00924AD2">
      <w:pPr>
        <w:spacing w:after="120"/>
      </w:pPr>
    </w:p>
    <w:p w14:paraId="5B216020" w14:textId="77777777" w:rsidR="00924AD2" w:rsidRDefault="00000000">
      <w:pPr>
        <w:spacing w:before="120" w:after="120"/>
        <w:jc w:val="center"/>
      </w:pPr>
      <w:r>
        <w:rPr>
          <w:noProof/>
        </w:rPr>
        <w:drawing>
          <wp:inline distT="0" distB="0" distL="0" distR="0" wp14:anchorId="6725AB04" wp14:editId="2B1EB549">
            <wp:extent cx="4953000" cy="2190750"/>
            <wp:effectExtent l="0" t="0" r="0" b="0"/>
            <wp:docPr id="578077494" name="junio2026-inflacion.png" descr="Gráfico MacroLibre Junio 2026" title="junio2026-inflac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953000" cy="2190750"/>
                    </a:xfrm>
                    <a:prstGeom prst="rect">
                      <a:avLst/>
                    </a:prstGeom>
                  </pic:spPr>
                </pic:pic>
              </a:graphicData>
            </a:graphic>
          </wp:inline>
        </w:drawing>
      </w:r>
    </w:p>
    <w:p w14:paraId="2A718FA8" w14:textId="77777777" w:rsidR="00924AD2" w:rsidRDefault="00000000">
      <w:pPr>
        <w:spacing w:before="160" w:after="80"/>
      </w:pPr>
      <w:r>
        <w:rPr>
          <w:b/>
          <w:bCs/>
          <w:color w:val="333333"/>
          <w:sz w:val="21"/>
          <w:szCs w:val="21"/>
        </w:rPr>
        <w:t>Divisiones con mayor incidencia (abril como referencia; mayo con patrón similar)</w:t>
      </w:r>
    </w:p>
    <w:p w14:paraId="61A0E650" w14:textId="77777777" w:rsidR="00924AD2" w:rsidRDefault="00000000">
      <w:pPr>
        <w:spacing w:after="60"/>
        <w:ind w:left="360"/>
      </w:pPr>
      <w:r>
        <w:t>• Transporte, Educación, Comunicación y Vivienda: siguen reflejando correcciones de precios regulados o semiflexibles.</w:t>
      </w:r>
    </w:p>
    <w:p w14:paraId="74B0736F" w14:textId="77777777" w:rsidR="00924AD2" w:rsidRDefault="00000000">
      <w:pPr>
        <w:spacing w:after="60"/>
        <w:ind w:left="360"/>
      </w:pPr>
      <w:r>
        <w:t>• Alimentos y bebidas: registros bajos ayudados por productos frescos y menor estacionalidad.</w:t>
      </w:r>
    </w:p>
    <w:p w14:paraId="30496A80" w14:textId="77777777" w:rsidR="00924AD2" w:rsidRDefault="00000000">
      <w:pPr>
        <w:spacing w:after="120"/>
      </w:pPr>
      <w:r>
        <w:t>La composición sugiere que la desaceleración no es solo 'baja generalizada' sino también efecto de calendario de ajustes administrados y menor presión estacional. El riesgo de traslado desde IPIM a IPC minorista permanece latente si se alteran costos o se debilita la estabilidad cambiaria.</w:t>
      </w:r>
    </w:p>
    <w:p w14:paraId="0B879009" w14:textId="77777777" w:rsidR="00924AD2" w:rsidRDefault="00924AD2">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924AD2" w14:paraId="28C530C5" w14:textId="77777777">
        <w:tblPrEx>
          <w:tblCellMar>
            <w:top w:w="0" w:type="dxa"/>
            <w:bottom w:w="0" w:type="dxa"/>
          </w:tblCellMar>
        </w:tblPrEx>
        <w:tc>
          <w:tcPr>
            <w:tcW w:w="9360" w:type="dxa"/>
            <w:tcBorders>
              <w:top w:val="single" w:sz="12" w:space="0" w:color="00A3E0"/>
              <w:left w:val="single" w:sz="12" w:space="0" w:color="00A3E0"/>
              <w:bottom w:val="single" w:sz="12" w:space="0" w:color="00A3E0"/>
              <w:right w:val="single" w:sz="12" w:space="0" w:color="00A3E0"/>
            </w:tcBorders>
            <w:shd w:val="clear" w:color="auto" w:fill="F0F8FF"/>
            <w:tcMar>
              <w:top w:w="100" w:type="dxa"/>
              <w:left w:w="140" w:type="dxa"/>
              <w:bottom w:w="100" w:type="dxa"/>
              <w:right w:w="140" w:type="dxa"/>
            </w:tcMar>
          </w:tcPr>
          <w:p w14:paraId="6AAD7372" w14:textId="77777777" w:rsidR="00924AD2" w:rsidRDefault="00000000">
            <w:pPr>
              <w:spacing w:after="80"/>
            </w:pPr>
            <w:r>
              <w:rPr>
                <w:b/>
                <w:bCs/>
                <w:color w:val="00A3E0"/>
              </w:rPr>
              <w:t>📌 Riesgo de traslado IPIM → IPC (recuadro técnico)</w:t>
            </w:r>
          </w:p>
          <w:p w14:paraId="1B32D5E0" w14:textId="77777777" w:rsidR="00924AD2" w:rsidRDefault="00000000">
            <w:pPr>
              <w:spacing w:after="60"/>
            </w:pPr>
            <w:r>
              <w:t>En abril el IPIM mayorista marcó 5,2% mensual vs 2,6% del IPC minorista. Históricamente, cuando la brecha se abre de esta manera (mayorista &gt; minorista), parte de la presión se traslada en los meses siguientes vía reposición de inventarios y contratos.</w:t>
            </w:r>
          </w:p>
          <w:p w14:paraId="0843B6B7" w14:textId="77777777" w:rsidR="00924AD2" w:rsidRDefault="00000000">
            <w:pPr>
              <w:spacing w:after="60"/>
            </w:pPr>
            <w:r>
              <w:t xml:space="preserve">Monitoreo recomendado: series de precios al productor por división + márgenes de supermercados. Escenario base asume traslado parcial y gradual (0,3-0,6 </w:t>
            </w:r>
            <w:proofErr w:type="spellStart"/>
            <w:r>
              <w:t>pp</w:t>
            </w:r>
            <w:proofErr w:type="spellEnd"/>
            <w:r>
              <w:t xml:space="preserve"> adicionales en 2-3 meses) condicionado a que el tipo de cambio se mantenga estable dentro de la banda.</w:t>
            </w:r>
          </w:p>
        </w:tc>
      </w:tr>
    </w:tbl>
    <w:p w14:paraId="2FECC870" w14:textId="77777777" w:rsidR="00924AD2" w:rsidRDefault="00924AD2">
      <w:pPr>
        <w:spacing w:before="120"/>
      </w:pPr>
    </w:p>
    <w:p w14:paraId="29D2467B" w14:textId="77777777" w:rsidR="00924AD2" w:rsidRDefault="00000000">
      <w:pPr>
        <w:spacing w:before="160" w:after="80"/>
      </w:pPr>
      <w:r>
        <w:rPr>
          <w:b/>
          <w:bCs/>
          <w:color w:val="333333"/>
          <w:sz w:val="21"/>
          <w:szCs w:val="21"/>
        </w:rPr>
        <w:t>Proyección IPC Mensual (Escenario Base actualizado con dato mayo)</w:t>
      </w:r>
    </w:p>
    <w:p w14:paraId="02E6B5B4" w14:textId="77777777" w:rsidR="00924AD2" w:rsidRDefault="00000000">
      <w:pPr>
        <w:spacing w:after="120"/>
      </w:pPr>
      <w:r>
        <w:t>Mayo-junio-julio: rango 1,9%-2,3% mensual. El sesgo es ligeramente a la baja respecto de proyecciones previas por la confirmación de la desaceleración núcleo. Factores de riesgo al alza: calendario de paritarias privadas en segundo semestre y eventual traslado de mayoristas.</w:t>
      </w:r>
    </w:p>
    <w:p w14:paraId="67D565C6" w14:textId="77777777" w:rsidR="00924AD2" w:rsidRDefault="00000000">
      <w:pPr>
        <w:pStyle w:val="Ttulo1"/>
      </w:pPr>
      <w:r>
        <w:lastRenderedPageBreak/>
        <w:t>3. Sector Monetario y Cambiario</w:t>
      </w:r>
    </w:p>
    <w:p w14:paraId="00AE3D4B" w14:textId="77777777" w:rsidR="00924AD2" w:rsidRDefault="00000000">
      <w:pPr>
        <w:spacing w:after="120"/>
      </w:pPr>
      <w:r>
        <w:t>El frente monetario y cambiario muestra continuidad de la acumulación de reservas y estabilidad dentro del esquema de banda. Las compras del BCRA en el MULC se mantienen positivas de manera consecutiva y el tipo de cambio oficial se mueve de forma administrada sin tensiones disruptivas.</w:t>
      </w:r>
    </w:p>
    <w:p w14:paraId="377220FE" w14:textId="77777777" w:rsidR="00924AD2" w:rsidRDefault="00000000">
      <w:pPr>
        <w:spacing w:before="160" w:after="80"/>
      </w:pPr>
      <w:r>
        <w:rPr>
          <w:b/>
          <w:bCs/>
          <w:color w:val="333333"/>
          <w:sz w:val="21"/>
          <w:szCs w:val="21"/>
        </w:rPr>
        <w:t>Reservas Internacionales (junio temprano 2026)</w:t>
      </w:r>
    </w:p>
    <w:p w14:paraId="30687356" w14:textId="77777777" w:rsidR="00924AD2" w:rsidRDefault="00000000">
      <w:pPr>
        <w:spacing w:after="60"/>
        <w:ind w:left="360"/>
      </w:pPr>
      <w:r>
        <w:t>• Reservas brutas: &gt; USD 47.800 millones (fuerte acumulación desde los 44.516M de fin de abril).</w:t>
      </w:r>
    </w:p>
    <w:p w14:paraId="321D7EFD" w14:textId="77777777" w:rsidR="00924AD2" w:rsidRDefault="00000000">
      <w:pPr>
        <w:spacing w:after="60"/>
        <w:ind w:left="360"/>
      </w:pPr>
      <w:r>
        <w:t>• Compras BCRA en MLC: &gt; USD 600 millones solo en los primeros días de junio (</w:t>
      </w:r>
      <w:proofErr w:type="spellStart"/>
      <w:r>
        <w:t>leading</w:t>
      </w:r>
      <w:proofErr w:type="spellEnd"/>
      <w:r>
        <w:t xml:space="preserve"> </w:t>
      </w:r>
      <w:proofErr w:type="spellStart"/>
      <w:r>
        <w:t>indicator</w:t>
      </w:r>
      <w:proofErr w:type="spellEnd"/>
      <w:r>
        <w:t xml:space="preserve"> clave).</w:t>
      </w:r>
    </w:p>
    <w:p w14:paraId="309D7419" w14:textId="77777777" w:rsidR="00924AD2" w:rsidRDefault="00000000">
      <w:pPr>
        <w:spacing w:after="60"/>
        <w:ind w:left="360"/>
      </w:pPr>
      <w:r>
        <w:t>• 92+ jornadas consecutivas de compras netas acumuladas.</w:t>
      </w:r>
    </w:p>
    <w:p w14:paraId="237BA1CD" w14:textId="77777777" w:rsidR="00924AD2" w:rsidRDefault="00000000">
      <w:pPr>
        <w:spacing w:after="60"/>
        <w:ind w:left="360"/>
      </w:pPr>
      <w:r>
        <w:t>• Desembolso FMI (segunda revisión): USD 1.000 M ya incorporados en la dinámica.</w:t>
      </w:r>
    </w:p>
    <w:p w14:paraId="58FAEA39" w14:textId="77777777" w:rsidR="00924AD2" w:rsidRDefault="00924AD2">
      <w:pPr>
        <w:spacing w:after="120"/>
      </w:pPr>
    </w:p>
    <w:p w14:paraId="2CF861C1" w14:textId="77777777" w:rsidR="00924AD2" w:rsidRDefault="00000000">
      <w:pPr>
        <w:spacing w:before="120" w:after="120"/>
        <w:jc w:val="center"/>
      </w:pPr>
      <w:r>
        <w:rPr>
          <w:noProof/>
        </w:rPr>
        <w:drawing>
          <wp:inline distT="0" distB="0" distL="0" distR="0" wp14:anchorId="541D7C86" wp14:editId="0A3EF3B4">
            <wp:extent cx="4953000" cy="2000250"/>
            <wp:effectExtent l="0" t="0" r="0" b="0"/>
            <wp:docPr id="1742512474" name="junio2026-reservas.png" descr="Gráfico MacroLibre Junio 2026" title="junio2026-reserv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953000" cy="2000250"/>
                    </a:xfrm>
                    <a:prstGeom prst="rect">
                      <a:avLst/>
                    </a:prstGeom>
                  </pic:spPr>
                </pic:pic>
              </a:graphicData>
            </a:graphic>
          </wp:inline>
        </w:drawing>
      </w:r>
    </w:p>
    <w:p w14:paraId="4FCAE2CF" w14:textId="77777777" w:rsidR="00924AD2" w:rsidRDefault="00000000">
      <w:pPr>
        <w:spacing w:before="160" w:after="80"/>
      </w:pPr>
      <w:r>
        <w:rPr>
          <w:b/>
          <w:bCs/>
          <w:color w:val="333333"/>
          <w:sz w:val="21"/>
          <w:szCs w:val="21"/>
        </w:rPr>
        <w:t>Tipo de Cambio y Política BCRA</w:t>
      </w:r>
    </w:p>
    <w:p w14:paraId="356BF3CB" w14:textId="77777777" w:rsidR="00924AD2" w:rsidRDefault="00000000">
      <w:pPr>
        <w:spacing w:after="60"/>
        <w:ind w:left="360"/>
      </w:pPr>
      <w:r>
        <w:t>• TC oficial promedio abril: $1.381 (dato de referencia; junio se mantiene en zona similar con movimientos menores dentro de banda).</w:t>
      </w:r>
    </w:p>
    <w:p w14:paraId="09748F5C" w14:textId="77777777" w:rsidR="00924AD2" w:rsidRDefault="00000000">
      <w:pPr>
        <w:spacing w:after="60"/>
        <w:ind w:left="360"/>
      </w:pPr>
      <w:r>
        <w:t>• Banda de flotación: techo ~$1.700 (brecha de seguridad amplia).</w:t>
      </w:r>
    </w:p>
    <w:p w14:paraId="57AC8361" w14:textId="77777777" w:rsidR="00924AD2" w:rsidRDefault="00000000">
      <w:pPr>
        <w:spacing w:after="60"/>
        <w:ind w:left="360"/>
      </w:pPr>
      <w:r>
        <w:t>• Política: BCRA prioriza acumulación de reservas vía superávit comercial y estacionalidad sin alterar la señal de desinflación.</w:t>
      </w:r>
    </w:p>
    <w:p w14:paraId="1038FA9B" w14:textId="77777777" w:rsidR="00924AD2" w:rsidRDefault="00000000">
      <w:pPr>
        <w:spacing w:after="120"/>
      </w:pPr>
      <w:r>
        <w:t>El principal riesgo para la convergencia cambiaria sigue siendo una reversión de flujos o una percepción de atraso que active demanda de cobertura. Por ahora, el flujo externo positivo y la ausencia de shocks sostienen el escenario base de flotación administrada.</w:t>
      </w:r>
    </w:p>
    <w:p w14:paraId="74F2C207" w14:textId="77777777" w:rsidR="00924AD2" w:rsidRDefault="00000000">
      <w:pPr>
        <w:pStyle w:val="Ttulo1"/>
      </w:pPr>
      <w:r>
        <w:t>4. Sector Externo</w:t>
      </w:r>
    </w:p>
    <w:p w14:paraId="200A8FD0" w14:textId="77777777" w:rsidR="00924AD2" w:rsidRDefault="00000000">
      <w:pPr>
        <w:spacing w:after="120"/>
      </w:pPr>
      <w:r>
        <w:t xml:space="preserve">El sector externo continúa siendo el principal soporte macro. El récord de exportaciones de abril (USD 8.914 M, +33,6% </w:t>
      </w:r>
      <w:proofErr w:type="spellStart"/>
      <w:r>
        <w:t>i.a</w:t>
      </w:r>
      <w:proofErr w:type="spellEnd"/>
      <w:r>
        <w:t>.) combinado con importaciones contenidas generó el mayor superávit comercial para un mes de abril de la serie (USD 2.711 M) y reforzó la acumulación de reservas.</w:t>
      </w:r>
    </w:p>
    <w:p w14:paraId="503BEF69" w14:textId="77777777" w:rsidR="00924AD2" w:rsidRDefault="00000000">
      <w:pPr>
        <w:spacing w:before="160" w:after="80"/>
      </w:pPr>
      <w:r>
        <w:rPr>
          <w:b/>
          <w:bCs/>
          <w:color w:val="333333"/>
          <w:sz w:val="21"/>
          <w:szCs w:val="21"/>
        </w:rPr>
        <w:t>Balanza Comercial — Abril 2026 (INDEC)</w:t>
      </w:r>
    </w:p>
    <w:p w14:paraId="265C689C" w14:textId="77777777" w:rsidR="00924AD2" w:rsidRDefault="00000000">
      <w:pPr>
        <w:spacing w:after="60"/>
        <w:ind w:left="360"/>
      </w:pPr>
      <w:r>
        <w:t>• Exportaciones FOB: USD 8.914 M — récord histórico nominal.</w:t>
      </w:r>
    </w:p>
    <w:p w14:paraId="4225FDDE" w14:textId="77777777" w:rsidR="00924AD2" w:rsidRDefault="00000000">
      <w:pPr>
        <w:spacing w:after="60"/>
        <w:ind w:left="360"/>
      </w:pPr>
      <w:r>
        <w:t xml:space="preserve">• Importaciones CIF: USD 6.204 M (-4,0% </w:t>
      </w:r>
      <w:proofErr w:type="spellStart"/>
      <w:r>
        <w:t>i.a</w:t>
      </w:r>
      <w:proofErr w:type="spellEnd"/>
      <w:r>
        <w:t>.).</w:t>
      </w:r>
    </w:p>
    <w:p w14:paraId="4688F548" w14:textId="77777777" w:rsidR="00924AD2" w:rsidRDefault="00000000">
      <w:pPr>
        <w:spacing w:after="60"/>
        <w:ind w:left="360"/>
      </w:pPr>
      <w:r>
        <w:t>• Superávit: USD 2.711 M (29° mes consecutivo).</w:t>
      </w:r>
    </w:p>
    <w:p w14:paraId="0F369783" w14:textId="77777777" w:rsidR="00924AD2" w:rsidRDefault="00000000">
      <w:pPr>
        <w:spacing w:after="60"/>
        <w:ind w:left="360"/>
      </w:pPr>
      <w:r>
        <w:t xml:space="preserve">• Términos del intercambio: +6,5% </w:t>
      </w:r>
      <w:proofErr w:type="spellStart"/>
      <w:r>
        <w:t>i.a</w:t>
      </w:r>
      <w:proofErr w:type="spellEnd"/>
      <w:r>
        <w:t>. (ganancia de USD 520 M).</w:t>
      </w:r>
    </w:p>
    <w:p w14:paraId="3C5F3396" w14:textId="77777777" w:rsidR="00924AD2" w:rsidRDefault="00000000">
      <w:pPr>
        <w:spacing w:after="60"/>
        <w:ind w:left="360"/>
      </w:pPr>
      <w:r>
        <w:t>• Composición: MOI USD 2.528 M (+43%), Primarios 2.127 M, Combustibles y energía 1.554 M (+86% — récord del sector).</w:t>
      </w:r>
    </w:p>
    <w:p w14:paraId="2B4AE7C5" w14:textId="77777777" w:rsidR="00924AD2" w:rsidRDefault="00924AD2">
      <w:pPr>
        <w:spacing w:after="120"/>
      </w:pPr>
    </w:p>
    <w:p w14:paraId="73AA4814" w14:textId="77777777" w:rsidR="00924AD2" w:rsidRDefault="00000000">
      <w:pPr>
        <w:spacing w:before="120" w:after="120"/>
        <w:jc w:val="center"/>
      </w:pPr>
      <w:r>
        <w:rPr>
          <w:noProof/>
        </w:rPr>
        <w:lastRenderedPageBreak/>
        <w:drawing>
          <wp:inline distT="0" distB="0" distL="0" distR="0" wp14:anchorId="2C17FDC2" wp14:editId="2F6ECC40">
            <wp:extent cx="4953000" cy="2000250"/>
            <wp:effectExtent l="0" t="0" r="0" b="0"/>
            <wp:docPr id="638821842" name="junio2026-balanza.png" descr="Gráfico MacroLibre Junio 2026" title="junio2026-bala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4953000" cy="2000250"/>
                    </a:xfrm>
                    <a:prstGeom prst="rect">
                      <a:avLst/>
                    </a:prstGeom>
                  </pic:spPr>
                </pic:pic>
              </a:graphicData>
            </a:graphic>
          </wp:inline>
        </w:drawing>
      </w:r>
    </w:p>
    <w:p w14:paraId="669C2D76" w14:textId="77777777" w:rsidR="00924AD2" w:rsidRDefault="00000000">
      <w:pPr>
        <w:spacing w:after="120"/>
      </w:pPr>
      <w:r>
        <w:t xml:space="preserve">La diversificación de la canasta exportadora (agro + energía + manufacturas) es una mejora estructural respecto de ciclos previos más dependientes de un solo </w:t>
      </w:r>
      <w:proofErr w:type="spellStart"/>
      <w:r>
        <w:t>commodity</w:t>
      </w:r>
      <w:proofErr w:type="spellEnd"/>
      <w:r>
        <w:t>. El dato de mayo (se publica ~18/06) será clave para confirmar si el superávit se mantiene en zona amplia o comienza la normalización estacional post-cosecha gruesa.</w:t>
      </w:r>
    </w:p>
    <w:p w14:paraId="1088EDFF" w14:textId="77777777" w:rsidR="00924AD2" w:rsidRDefault="00000000">
      <w:pPr>
        <w:spacing w:before="160" w:after="80"/>
      </w:pPr>
      <w:r>
        <w:rPr>
          <w:b/>
          <w:bCs/>
          <w:color w:val="333333"/>
          <w:sz w:val="21"/>
          <w:szCs w:val="21"/>
        </w:rPr>
        <w:t>Proyección Comercio Exterior (actualizada)</w:t>
      </w:r>
    </w:p>
    <w:p w14:paraId="701F1937" w14:textId="77777777" w:rsidR="00924AD2" w:rsidRDefault="00000000">
      <w:pPr>
        <w:spacing w:after="60"/>
        <w:ind w:left="360"/>
      </w:pPr>
      <w:r>
        <w:t xml:space="preserve">• Mayo 2026: </w:t>
      </w:r>
      <w:proofErr w:type="spellStart"/>
      <w:r>
        <w:t>Export</w:t>
      </w:r>
      <w:proofErr w:type="spellEnd"/>
      <w:r>
        <w:t xml:space="preserve">. 7.800-8.400 M | </w:t>
      </w:r>
      <w:proofErr w:type="spellStart"/>
      <w:r>
        <w:t>Import</w:t>
      </w:r>
      <w:proofErr w:type="spellEnd"/>
      <w:r>
        <w:t>. 6.200-6.600 M | Saldo 1.600-1.800 M (dato pendiente 18/06).</w:t>
      </w:r>
    </w:p>
    <w:p w14:paraId="74173B0E" w14:textId="77777777" w:rsidR="00924AD2" w:rsidRDefault="00000000">
      <w:pPr>
        <w:spacing w:after="60"/>
        <w:ind w:left="360"/>
      </w:pPr>
      <w:r>
        <w:t>• Junio: leve moderación del saldo por estacionalidad.</w:t>
      </w:r>
    </w:p>
    <w:p w14:paraId="3A416D77" w14:textId="77777777" w:rsidR="00924AD2" w:rsidRDefault="00000000">
      <w:pPr>
        <w:spacing w:after="60"/>
        <w:ind w:left="360"/>
      </w:pPr>
      <w:r>
        <w:t>• Julio: rango 800-1.400 M de superávit.</w:t>
      </w:r>
    </w:p>
    <w:p w14:paraId="7B113EED" w14:textId="77777777" w:rsidR="00924AD2" w:rsidRDefault="00000000">
      <w:pPr>
        <w:pStyle w:val="Ttulo1"/>
      </w:pPr>
      <w:r>
        <w:t>5. Sector Fiscal</w:t>
      </w:r>
    </w:p>
    <w:p w14:paraId="5FA7FBFD" w14:textId="77777777" w:rsidR="00924AD2" w:rsidRDefault="00000000">
      <w:pPr>
        <w:spacing w:after="120"/>
      </w:pPr>
      <w:r>
        <w:t>El resultado fiscal de abril volvió a mostrar superávit primario y financiero, prolongando la secuencia de disciplina que constituye uno de los pilares estructurales del programa actual.</w:t>
      </w:r>
    </w:p>
    <w:p w14:paraId="4A7AF658" w14:textId="77777777" w:rsidR="00924AD2" w:rsidRDefault="00000000">
      <w:pPr>
        <w:spacing w:before="160" w:after="80"/>
      </w:pPr>
      <w:r>
        <w:rPr>
          <w:b/>
          <w:bCs/>
          <w:color w:val="333333"/>
          <w:sz w:val="21"/>
          <w:szCs w:val="21"/>
        </w:rPr>
        <w:t>Resultado SPNF — Abril 2026 (Ministerio de Economía)</w:t>
      </w:r>
    </w:p>
    <w:p w14:paraId="6A497B36" w14:textId="77777777" w:rsidR="00924AD2" w:rsidRDefault="00000000">
      <w:pPr>
        <w:spacing w:after="60"/>
        <w:ind w:left="360"/>
      </w:pPr>
      <w:r>
        <w:t>• Superávit primario: $632.844 M (4° mes consecutivo en verde).</w:t>
      </w:r>
    </w:p>
    <w:p w14:paraId="2008C061" w14:textId="77777777" w:rsidR="00924AD2" w:rsidRDefault="00000000">
      <w:pPr>
        <w:spacing w:after="60"/>
        <w:ind w:left="360"/>
      </w:pPr>
      <w:r>
        <w:t>• Superávit financiero: $268.103 M (tras intereses de $364.741 M).</w:t>
      </w:r>
    </w:p>
    <w:p w14:paraId="0AC90316" w14:textId="77777777" w:rsidR="00924AD2" w:rsidRDefault="00000000">
      <w:pPr>
        <w:spacing w:after="60"/>
        <w:ind w:left="360"/>
      </w:pPr>
      <w:r>
        <w:t xml:space="preserve">• Ingresos SPN: +29,6% </w:t>
      </w:r>
      <w:proofErr w:type="spellStart"/>
      <w:r>
        <w:t>i.a</w:t>
      </w:r>
      <w:proofErr w:type="spellEnd"/>
      <w:r>
        <w:t>. nominal / -2,1% real.</w:t>
      </w:r>
    </w:p>
    <w:p w14:paraId="5C881F28" w14:textId="77777777" w:rsidR="00924AD2" w:rsidRDefault="00000000">
      <w:pPr>
        <w:spacing w:after="60"/>
        <w:ind w:left="360"/>
      </w:pPr>
      <w:r>
        <w:t xml:space="preserve">• Gastos primarios: +34,5% </w:t>
      </w:r>
      <w:proofErr w:type="spellStart"/>
      <w:r>
        <w:t>i.a</w:t>
      </w:r>
      <w:proofErr w:type="spellEnd"/>
      <w:r>
        <w:t>. nominal (contención relativa).</w:t>
      </w:r>
    </w:p>
    <w:p w14:paraId="6D203C43" w14:textId="77777777" w:rsidR="00924AD2" w:rsidRDefault="00000000">
      <w:pPr>
        <w:spacing w:after="60"/>
        <w:ind w:left="360"/>
      </w:pPr>
      <w:r>
        <w:t>• Acumulado en % PBI: ~0,5% (meta FMI 2026: 1,4% del PBI).</w:t>
      </w:r>
    </w:p>
    <w:p w14:paraId="08B4C46A" w14:textId="77777777" w:rsidR="00924AD2" w:rsidRDefault="00000000">
      <w:pPr>
        <w:spacing w:after="60"/>
        <w:ind w:left="360"/>
      </w:pPr>
      <w:r>
        <w:t>• 26 de los últimos 28 meses con superávit primario.</w:t>
      </w:r>
    </w:p>
    <w:p w14:paraId="19DFC38B" w14:textId="77777777" w:rsidR="00924AD2" w:rsidRDefault="00000000">
      <w:pPr>
        <w:spacing w:after="60"/>
        <w:ind w:left="360"/>
      </w:pPr>
      <w:r>
        <w:t>• Segunda revisión FMI aprobada; desembolso USD 1.000 M.</w:t>
      </w:r>
    </w:p>
    <w:p w14:paraId="385D6557" w14:textId="77777777" w:rsidR="00924AD2" w:rsidRDefault="00924AD2">
      <w:pPr>
        <w:spacing w:after="120"/>
      </w:pPr>
    </w:p>
    <w:p w14:paraId="72059D22" w14:textId="77777777" w:rsidR="00924AD2" w:rsidRDefault="00000000">
      <w:pPr>
        <w:spacing w:before="120" w:after="120"/>
        <w:jc w:val="center"/>
      </w:pPr>
      <w:r>
        <w:rPr>
          <w:noProof/>
        </w:rPr>
        <w:drawing>
          <wp:inline distT="0" distB="0" distL="0" distR="0" wp14:anchorId="489E85BF" wp14:editId="047DC9B5">
            <wp:extent cx="4953000" cy="2000250"/>
            <wp:effectExtent l="0" t="0" r="0" b="0"/>
            <wp:docPr id="2047559991" name="junio2026-fiscal.png" descr="Gráfico MacroLibre Junio 2026" title="junio2026-fisc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4953000" cy="2000250"/>
                    </a:xfrm>
                    <a:prstGeom prst="rect">
                      <a:avLst/>
                    </a:prstGeom>
                  </pic:spPr>
                </pic:pic>
              </a:graphicData>
            </a:graphic>
          </wp:inline>
        </w:drawing>
      </w:r>
    </w:p>
    <w:p w14:paraId="5C6A1C15" w14:textId="77777777" w:rsidR="00924AD2" w:rsidRDefault="00000000">
      <w:pPr>
        <w:spacing w:after="120"/>
      </w:pPr>
      <w:r>
        <w:t xml:space="preserve">Para alcanzar la meta anual de 1,4% PBI el Gobierno necesita acumular ~0,9 p.p. adicionales en los próximos 8 meses. El principal riesgo de corto plazo no es la reversión del superávit sino la erosión de ingresos reales (retenciones afectadas por baja de alícuotas + recaudación tributaria que aún no repunta con la actividad). El </w:t>
      </w:r>
      <w:r>
        <w:lastRenderedPageBreak/>
        <w:t>escenario base considera la meta alcanzable con holgura reducida, siempre que el control del gasto se mantenga y no aparezcan desvíos en partidas rígidas.</w:t>
      </w:r>
    </w:p>
    <w:p w14:paraId="6DC43FD9" w14:textId="77777777" w:rsidR="00924AD2" w:rsidRDefault="00000000">
      <w:pPr>
        <w:pStyle w:val="Ttulo1"/>
      </w:pPr>
      <w:r>
        <w:t>6. Cuadro de Proyecciones Consolidado</w:t>
      </w:r>
    </w:p>
    <w:p w14:paraId="1CD24917" w14:textId="77777777" w:rsidR="00924AD2" w:rsidRDefault="00000000">
      <w:pPr>
        <w:spacing w:after="120"/>
      </w:pPr>
      <w:r>
        <w:t>Actualizado con el dato de IPC Mayo 2,1% y la dinámica de reservas a mitad de junio. Rangos que reflejan incertidumbre inherente al contexto argentino. Metodología: tendencia + factores de desvío previsibles (estacionalidad, política tarifaria, paritarias, comercio exterior) + juicio técnico del equipo.</w:t>
      </w:r>
    </w:p>
    <w:p w14:paraId="4A2F0CAF" w14:textId="77777777" w:rsidR="00BB7367" w:rsidRPr="00BB7367" w:rsidRDefault="00BB7367" w:rsidP="00BB7367">
      <w:pPr>
        <w:spacing w:after="120"/>
      </w:pPr>
      <w:r w:rsidRPr="00BB7367">
        <w:t>Esta proyección 26-29% acumulado 2026 es explícitamente conservadora. Incorpora riesgos coyunturales (paritarias, tarifarias pendientes, posible traslado del IPIM) y se ubica por encima del Break-Even (~23%) pero alineada con un sesgo prudente respecto al REM-BCRA (~30,5%). Si la consolidación de superávits y reservas continúa, existe margen para converger hacia el piso del rango o incluso por debajo.</w:t>
      </w:r>
    </w:p>
    <w:p w14:paraId="701CD18D" w14:textId="77777777" w:rsidR="00BB7367" w:rsidRDefault="00BB7367">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1400"/>
        <w:gridCol w:w="1400"/>
        <w:gridCol w:w="1400"/>
        <w:gridCol w:w="1700"/>
        <w:gridCol w:w="1760"/>
      </w:tblGrid>
      <w:tr w:rsidR="00924AD2" w14:paraId="78AD1B36" w14:textId="77777777">
        <w:tblPrEx>
          <w:tblCellMar>
            <w:top w:w="0" w:type="dxa"/>
            <w:bottom w:w="0" w:type="dxa"/>
          </w:tblCellMar>
        </w:tblPrEx>
        <w:tc>
          <w:tcPr>
            <w:tcW w:w="1700" w:type="dxa"/>
            <w:tcBorders>
              <w:top w:val="single" w:sz="1" w:space="0" w:color="CCCCCC"/>
              <w:left w:val="single" w:sz="1" w:space="0" w:color="CCCCCC"/>
              <w:bottom w:val="single" w:sz="1" w:space="0" w:color="CCCCCC"/>
              <w:right w:val="single" w:sz="1" w:space="0" w:color="CCCCCC"/>
            </w:tcBorders>
            <w:shd w:val="clear" w:color="auto" w:fill="1A1A2E"/>
            <w:tcMar>
              <w:top w:w="50" w:type="dxa"/>
              <w:left w:w="60" w:type="dxa"/>
              <w:bottom w:w="50" w:type="dxa"/>
              <w:right w:w="60" w:type="dxa"/>
            </w:tcMar>
          </w:tcPr>
          <w:p w14:paraId="4A4AC881" w14:textId="77777777" w:rsidR="00924AD2" w:rsidRDefault="00000000">
            <w:r>
              <w:rPr>
                <w:b/>
                <w:bCs/>
                <w:color w:val="FFFFFF"/>
                <w:sz w:val="16"/>
                <w:szCs w:val="16"/>
              </w:rPr>
              <w:t>Variable</w:t>
            </w:r>
          </w:p>
        </w:tc>
        <w:tc>
          <w:tcPr>
            <w:tcW w:w="1400" w:type="dxa"/>
            <w:tcBorders>
              <w:top w:val="single" w:sz="1" w:space="0" w:color="CCCCCC"/>
              <w:left w:val="single" w:sz="1" w:space="0" w:color="CCCCCC"/>
              <w:bottom w:val="single" w:sz="1" w:space="0" w:color="CCCCCC"/>
              <w:right w:val="single" w:sz="1" w:space="0" w:color="CCCCCC"/>
            </w:tcBorders>
            <w:shd w:val="clear" w:color="auto" w:fill="1A1A2E"/>
            <w:tcMar>
              <w:top w:w="50" w:type="dxa"/>
              <w:left w:w="60" w:type="dxa"/>
              <w:bottom w:w="50" w:type="dxa"/>
              <w:right w:w="60" w:type="dxa"/>
            </w:tcMar>
          </w:tcPr>
          <w:p w14:paraId="31FACBD7" w14:textId="77777777" w:rsidR="00924AD2" w:rsidRDefault="00000000">
            <w:r>
              <w:rPr>
                <w:b/>
                <w:bCs/>
                <w:color w:val="FFFFFF"/>
                <w:sz w:val="16"/>
                <w:szCs w:val="16"/>
              </w:rPr>
              <w:t>Unidad</w:t>
            </w:r>
          </w:p>
        </w:tc>
        <w:tc>
          <w:tcPr>
            <w:tcW w:w="1400" w:type="dxa"/>
            <w:tcBorders>
              <w:top w:val="single" w:sz="1" w:space="0" w:color="CCCCCC"/>
              <w:left w:val="single" w:sz="1" w:space="0" w:color="CCCCCC"/>
              <w:bottom w:val="single" w:sz="1" w:space="0" w:color="CCCCCC"/>
              <w:right w:val="single" w:sz="1" w:space="0" w:color="CCCCCC"/>
            </w:tcBorders>
            <w:shd w:val="clear" w:color="auto" w:fill="1A1A2E"/>
            <w:tcMar>
              <w:top w:w="50" w:type="dxa"/>
              <w:left w:w="60" w:type="dxa"/>
              <w:bottom w:w="50" w:type="dxa"/>
              <w:right w:w="60" w:type="dxa"/>
            </w:tcMar>
          </w:tcPr>
          <w:p w14:paraId="7D6ABBD0" w14:textId="77777777" w:rsidR="00924AD2" w:rsidRDefault="00000000">
            <w:r>
              <w:rPr>
                <w:b/>
                <w:bCs/>
                <w:color w:val="FFFFFF"/>
                <w:sz w:val="16"/>
                <w:szCs w:val="16"/>
              </w:rPr>
              <w:t>M+1 (jun)</w:t>
            </w:r>
          </w:p>
        </w:tc>
        <w:tc>
          <w:tcPr>
            <w:tcW w:w="1400" w:type="dxa"/>
            <w:tcBorders>
              <w:top w:val="single" w:sz="1" w:space="0" w:color="CCCCCC"/>
              <w:left w:val="single" w:sz="1" w:space="0" w:color="CCCCCC"/>
              <w:bottom w:val="single" w:sz="1" w:space="0" w:color="CCCCCC"/>
              <w:right w:val="single" w:sz="1" w:space="0" w:color="CCCCCC"/>
            </w:tcBorders>
            <w:shd w:val="clear" w:color="auto" w:fill="1A1A2E"/>
            <w:tcMar>
              <w:top w:w="50" w:type="dxa"/>
              <w:left w:w="60" w:type="dxa"/>
              <w:bottom w:w="50" w:type="dxa"/>
              <w:right w:w="60" w:type="dxa"/>
            </w:tcMar>
          </w:tcPr>
          <w:p w14:paraId="02B40A0F" w14:textId="77777777" w:rsidR="00924AD2" w:rsidRDefault="00000000">
            <w:r>
              <w:rPr>
                <w:b/>
                <w:bCs/>
                <w:color w:val="FFFFFF"/>
                <w:sz w:val="16"/>
                <w:szCs w:val="16"/>
              </w:rPr>
              <w:t>M+3 (</w:t>
            </w:r>
            <w:proofErr w:type="spellStart"/>
            <w:r>
              <w:rPr>
                <w:b/>
                <w:bCs/>
                <w:color w:val="FFFFFF"/>
                <w:sz w:val="16"/>
                <w:szCs w:val="16"/>
              </w:rPr>
              <w:t>ago</w:t>
            </w:r>
            <w:proofErr w:type="spellEnd"/>
            <w:r>
              <w:rPr>
                <w:b/>
                <w:bCs/>
                <w:color w:val="FFFFFF"/>
                <w:sz w:val="16"/>
                <w:szCs w:val="16"/>
              </w:rPr>
              <w:t>)</w:t>
            </w:r>
          </w:p>
        </w:tc>
        <w:tc>
          <w:tcPr>
            <w:tcW w:w="1700" w:type="dxa"/>
            <w:tcBorders>
              <w:top w:val="single" w:sz="1" w:space="0" w:color="CCCCCC"/>
              <w:left w:val="single" w:sz="1" w:space="0" w:color="CCCCCC"/>
              <w:bottom w:val="single" w:sz="1" w:space="0" w:color="CCCCCC"/>
              <w:right w:val="single" w:sz="1" w:space="0" w:color="CCCCCC"/>
            </w:tcBorders>
            <w:shd w:val="clear" w:color="auto" w:fill="1A1A2E"/>
            <w:tcMar>
              <w:top w:w="50" w:type="dxa"/>
              <w:left w:w="60" w:type="dxa"/>
              <w:bottom w:w="50" w:type="dxa"/>
              <w:right w:w="60" w:type="dxa"/>
            </w:tcMar>
          </w:tcPr>
          <w:p w14:paraId="4FF29FB7" w14:textId="77777777" w:rsidR="00924AD2" w:rsidRDefault="00000000">
            <w:r>
              <w:rPr>
                <w:b/>
                <w:bCs/>
                <w:color w:val="FFFFFF"/>
                <w:sz w:val="16"/>
                <w:szCs w:val="16"/>
              </w:rPr>
              <w:t>Año 2026</w:t>
            </w:r>
          </w:p>
        </w:tc>
        <w:tc>
          <w:tcPr>
            <w:tcW w:w="1760" w:type="dxa"/>
            <w:tcBorders>
              <w:top w:val="single" w:sz="1" w:space="0" w:color="CCCCCC"/>
              <w:left w:val="single" w:sz="1" w:space="0" w:color="CCCCCC"/>
              <w:bottom w:val="single" w:sz="1" w:space="0" w:color="CCCCCC"/>
              <w:right w:val="single" w:sz="1" w:space="0" w:color="CCCCCC"/>
            </w:tcBorders>
            <w:shd w:val="clear" w:color="auto" w:fill="1A1A2E"/>
            <w:tcMar>
              <w:top w:w="50" w:type="dxa"/>
              <w:left w:w="60" w:type="dxa"/>
              <w:bottom w:w="50" w:type="dxa"/>
              <w:right w:w="60" w:type="dxa"/>
            </w:tcMar>
          </w:tcPr>
          <w:p w14:paraId="29E60727" w14:textId="77777777" w:rsidR="00924AD2" w:rsidRDefault="00000000">
            <w:r>
              <w:rPr>
                <w:b/>
                <w:bCs/>
                <w:color w:val="FFFFFF"/>
                <w:sz w:val="16"/>
                <w:szCs w:val="16"/>
              </w:rPr>
              <w:t>Año 2027</w:t>
            </w:r>
          </w:p>
        </w:tc>
      </w:tr>
      <w:tr w:rsidR="00924AD2" w14:paraId="14C26B29" w14:textId="77777777">
        <w:tblPrEx>
          <w:tblCellMar>
            <w:top w:w="0" w:type="dxa"/>
            <w:bottom w:w="0" w:type="dxa"/>
          </w:tblCellMar>
        </w:tblPrEx>
        <w:tc>
          <w:tcPr>
            <w:tcW w:w="1700" w:type="dxa"/>
            <w:tcBorders>
              <w:top w:val="single" w:sz="1" w:space="0" w:color="CCCCCC"/>
              <w:left w:val="single" w:sz="1" w:space="0" w:color="CCCCCC"/>
              <w:bottom w:val="single" w:sz="1" w:space="0" w:color="CCCCCC"/>
              <w:right w:val="single" w:sz="1" w:space="0" w:color="CCCCCC"/>
            </w:tcBorders>
            <w:shd w:val="clear" w:color="auto" w:fill="F8FAFC"/>
            <w:tcMar>
              <w:top w:w="40" w:type="dxa"/>
              <w:left w:w="60" w:type="dxa"/>
              <w:bottom w:w="40" w:type="dxa"/>
              <w:right w:w="60" w:type="dxa"/>
            </w:tcMar>
          </w:tcPr>
          <w:p w14:paraId="23F9E1BA" w14:textId="77777777" w:rsidR="00924AD2" w:rsidRDefault="00000000">
            <w:r>
              <w:rPr>
                <w:b/>
                <w:bCs/>
                <w:sz w:val="16"/>
                <w:szCs w:val="16"/>
              </w:rPr>
              <w:t>IPC General</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445560D4" w14:textId="77777777" w:rsidR="00924AD2" w:rsidRDefault="00000000">
            <w:r>
              <w:rPr>
                <w:sz w:val="16"/>
                <w:szCs w:val="16"/>
              </w:rPr>
              <w:t>% mensual</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1A709111" w14:textId="77777777" w:rsidR="00924AD2" w:rsidRDefault="00000000">
            <w:r>
              <w:rPr>
                <w:sz w:val="16"/>
                <w:szCs w:val="16"/>
              </w:rPr>
              <w:t>1,9-2,3</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6B79E9CD" w14:textId="77777777" w:rsidR="00924AD2" w:rsidRDefault="00000000">
            <w:r>
              <w:rPr>
                <w:sz w:val="16"/>
                <w:szCs w:val="16"/>
              </w:rPr>
              <w:t>1,9-2,4</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3F0B5941" w14:textId="77777777" w:rsidR="00924AD2" w:rsidRDefault="00000000">
            <w:r>
              <w:rPr>
                <w:sz w:val="16"/>
                <w:szCs w:val="16"/>
              </w:rPr>
              <w:t>26-29% ac.</w:t>
            </w:r>
          </w:p>
        </w:tc>
        <w:tc>
          <w:tcPr>
            <w:tcW w:w="1760"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316BEF27" w14:textId="77777777" w:rsidR="00924AD2" w:rsidRDefault="00000000">
            <w:r>
              <w:rPr>
                <w:sz w:val="16"/>
                <w:szCs w:val="16"/>
              </w:rPr>
              <w:t>17-21% ac.</w:t>
            </w:r>
          </w:p>
        </w:tc>
      </w:tr>
      <w:tr w:rsidR="00924AD2" w14:paraId="26B30304" w14:textId="77777777">
        <w:tblPrEx>
          <w:tblCellMar>
            <w:top w:w="0" w:type="dxa"/>
            <w:bottom w:w="0" w:type="dxa"/>
          </w:tblCellMar>
        </w:tblPrEx>
        <w:tc>
          <w:tcPr>
            <w:tcW w:w="1700" w:type="dxa"/>
            <w:tcBorders>
              <w:top w:val="single" w:sz="1" w:space="0" w:color="CCCCCC"/>
              <w:left w:val="single" w:sz="1" w:space="0" w:color="CCCCCC"/>
              <w:bottom w:val="single" w:sz="1" w:space="0" w:color="CCCCCC"/>
              <w:right w:val="single" w:sz="1" w:space="0" w:color="CCCCCC"/>
            </w:tcBorders>
            <w:shd w:val="clear" w:color="auto" w:fill="F8FAFC"/>
            <w:tcMar>
              <w:top w:w="40" w:type="dxa"/>
              <w:left w:w="60" w:type="dxa"/>
              <w:bottom w:w="40" w:type="dxa"/>
              <w:right w:w="60" w:type="dxa"/>
            </w:tcMar>
          </w:tcPr>
          <w:p w14:paraId="0195BC05" w14:textId="77777777" w:rsidR="00924AD2" w:rsidRDefault="00000000">
            <w:r>
              <w:rPr>
                <w:b/>
                <w:bCs/>
                <w:sz w:val="16"/>
                <w:szCs w:val="16"/>
              </w:rPr>
              <w:t>IPC Núcleo</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685AC12A" w14:textId="77777777" w:rsidR="00924AD2" w:rsidRDefault="00000000">
            <w:r>
              <w:rPr>
                <w:sz w:val="16"/>
                <w:szCs w:val="16"/>
              </w:rPr>
              <w:t>% mensual</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7CB14EAF" w14:textId="77777777" w:rsidR="00924AD2" w:rsidRDefault="00000000">
            <w:r>
              <w:rPr>
                <w:sz w:val="16"/>
                <w:szCs w:val="16"/>
              </w:rPr>
              <w:t>1,8-2,1</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3924807E" w14:textId="77777777" w:rsidR="00924AD2" w:rsidRDefault="00000000">
            <w:r>
              <w:rPr>
                <w:sz w:val="16"/>
                <w:szCs w:val="16"/>
              </w:rPr>
              <w:t>1,8-2,2</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4862316C" w14:textId="77777777" w:rsidR="00924AD2" w:rsidRDefault="00000000">
            <w:r>
              <w:rPr>
                <w:sz w:val="16"/>
                <w:szCs w:val="16"/>
              </w:rPr>
              <w:t>25-27% ac.</w:t>
            </w:r>
          </w:p>
        </w:tc>
        <w:tc>
          <w:tcPr>
            <w:tcW w:w="1760"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7A0ED94B" w14:textId="77777777" w:rsidR="00924AD2" w:rsidRDefault="00000000">
            <w:r>
              <w:rPr>
                <w:sz w:val="16"/>
                <w:szCs w:val="16"/>
              </w:rPr>
              <w:t>16-19% ac.</w:t>
            </w:r>
          </w:p>
        </w:tc>
      </w:tr>
      <w:tr w:rsidR="00924AD2" w14:paraId="0249C7D7" w14:textId="77777777">
        <w:tblPrEx>
          <w:tblCellMar>
            <w:top w:w="0" w:type="dxa"/>
            <w:bottom w:w="0" w:type="dxa"/>
          </w:tblCellMar>
        </w:tblPrEx>
        <w:tc>
          <w:tcPr>
            <w:tcW w:w="1700" w:type="dxa"/>
            <w:tcBorders>
              <w:top w:val="single" w:sz="1" w:space="0" w:color="CCCCCC"/>
              <w:left w:val="single" w:sz="1" w:space="0" w:color="CCCCCC"/>
              <w:bottom w:val="single" w:sz="1" w:space="0" w:color="CCCCCC"/>
              <w:right w:val="single" w:sz="1" w:space="0" w:color="CCCCCC"/>
            </w:tcBorders>
            <w:shd w:val="clear" w:color="auto" w:fill="F8FAFC"/>
            <w:tcMar>
              <w:top w:w="40" w:type="dxa"/>
              <w:left w:w="60" w:type="dxa"/>
              <w:bottom w:w="40" w:type="dxa"/>
              <w:right w:w="60" w:type="dxa"/>
            </w:tcMar>
          </w:tcPr>
          <w:p w14:paraId="3C87722A" w14:textId="77777777" w:rsidR="00924AD2" w:rsidRDefault="00000000">
            <w:r>
              <w:rPr>
                <w:b/>
                <w:bCs/>
                <w:sz w:val="16"/>
                <w:szCs w:val="16"/>
              </w:rPr>
              <w:t>TC Mayorista</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33339A90" w14:textId="77777777" w:rsidR="00924AD2" w:rsidRDefault="00000000">
            <w:r>
              <w:rPr>
                <w:sz w:val="16"/>
                <w:szCs w:val="16"/>
              </w:rPr>
              <w:t>$/USD cierre</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5DBD4FF7" w14:textId="77777777" w:rsidR="00924AD2" w:rsidRDefault="00000000">
            <w:r>
              <w:rPr>
                <w:sz w:val="16"/>
                <w:szCs w:val="16"/>
              </w:rPr>
              <w:t>1.385-1.410</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42B1A5C6" w14:textId="77777777" w:rsidR="00924AD2" w:rsidRDefault="00000000">
            <w:r>
              <w:rPr>
                <w:sz w:val="16"/>
                <w:szCs w:val="16"/>
              </w:rPr>
              <w:t>1.420-1.480</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34317E1D" w14:textId="77777777" w:rsidR="00924AD2" w:rsidRDefault="00000000">
            <w:r>
              <w:rPr>
                <w:sz w:val="16"/>
                <w:szCs w:val="16"/>
              </w:rPr>
              <w:t>1.550-1.650</w:t>
            </w:r>
          </w:p>
        </w:tc>
        <w:tc>
          <w:tcPr>
            <w:tcW w:w="1760"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69BFE890" w14:textId="77777777" w:rsidR="00924AD2" w:rsidRDefault="00000000">
            <w:r>
              <w:rPr>
                <w:sz w:val="16"/>
                <w:szCs w:val="16"/>
              </w:rPr>
              <w:t>n/d</w:t>
            </w:r>
          </w:p>
        </w:tc>
      </w:tr>
      <w:tr w:rsidR="00924AD2" w14:paraId="1D94AB86" w14:textId="77777777">
        <w:tblPrEx>
          <w:tblCellMar>
            <w:top w:w="0" w:type="dxa"/>
            <w:bottom w:w="0" w:type="dxa"/>
          </w:tblCellMar>
        </w:tblPrEx>
        <w:tc>
          <w:tcPr>
            <w:tcW w:w="1700" w:type="dxa"/>
            <w:tcBorders>
              <w:top w:val="single" w:sz="1" w:space="0" w:color="CCCCCC"/>
              <w:left w:val="single" w:sz="1" w:space="0" w:color="CCCCCC"/>
              <w:bottom w:val="single" w:sz="1" w:space="0" w:color="CCCCCC"/>
              <w:right w:val="single" w:sz="1" w:space="0" w:color="CCCCCC"/>
            </w:tcBorders>
            <w:shd w:val="clear" w:color="auto" w:fill="F8FAFC"/>
            <w:tcMar>
              <w:top w:w="40" w:type="dxa"/>
              <w:left w:w="60" w:type="dxa"/>
              <w:bottom w:w="40" w:type="dxa"/>
              <w:right w:w="60" w:type="dxa"/>
            </w:tcMar>
          </w:tcPr>
          <w:p w14:paraId="63842951" w14:textId="77777777" w:rsidR="00924AD2" w:rsidRDefault="00000000">
            <w:r>
              <w:rPr>
                <w:b/>
                <w:bCs/>
                <w:sz w:val="16"/>
                <w:szCs w:val="16"/>
              </w:rPr>
              <w:t>PBI Real</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6031FAB1" w14:textId="77777777" w:rsidR="00924AD2" w:rsidRDefault="00000000">
            <w:r>
              <w:rPr>
                <w:sz w:val="16"/>
                <w:szCs w:val="16"/>
              </w:rPr>
              <w:t xml:space="preserve">% </w:t>
            </w:r>
            <w:proofErr w:type="spellStart"/>
            <w:r>
              <w:rPr>
                <w:sz w:val="16"/>
                <w:szCs w:val="16"/>
              </w:rPr>
              <w:t>trim</w:t>
            </w:r>
            <w:proofErr w:type="spellEnd"/>
            <w:r>
              <w:rPr>
                <w:sz w:val="16"/>
                <w:szCs w:val="16"/>
              </w:rPr>
              <w:t xml:space="preserve">. </w:t>
            </w:r>
            <w:proofErr w:type="spellStart"/>
            <w:r>
              <w:rPr>
                <w:sz w:val="16"/>
                <w:szCs w:val="16"/>
              </w:rPr>
              <w:t>desest</w:t>
            </w:r>
            <w:proofErr w:type="spellEnd"/>
            <w:r>
              <w:rPr>
                <w:sz w:val="16"/>
                <w:szCs w:val="16"/>
              </w:rPr>
              <w:t>.</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786B4937" w14:textId="77777777" w:rsidR="00924AD2" w:rsidRDefault="00000000">
            <w:r>
              <w:rPr>
                <w:sz w:val="16"/>
                <w:szCs w:val="16"/>
              </w:rPr>
              <w:t>+0,9-1,4</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46E4B8EB" w14:textId="77777777" w:rsidR="00924AD2" w:rsidRDefault="00000000">
            <w:r>
              <w:rPr>
                <w:sz w:val="16"/>
                <w:szCs w:val="16"/>
              </w:rPr>
              <w:t>+0,6-1,1</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4F96E59D" w14:textId="77777777" w:rsidR="00924AD2" w:rsidRDefault="00000000">
            <w:r>
              <w:rPr>
                <w:sz w:val="16"/>
                <w:szCs w:val="16"/>
              </w:rPr>
              <w:t>+4,3-4,9</w:t>
            </w:r>
          </w:p>
        </w:tc>
        <w:tc>
          <w:tcPr>
            <w:tcW w:w="1760"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6AF3947F" w14:textId="77777777" w:rsidR="00924AD2" w:rsidRDefault="00000000">
            <w:r>
              <w:rPr>
                <w:sz w:val="16"/>
                <w:szCs w:val="16"/>
              </w:rPr>
              <w:t>+2,8-3,8</w:t>
            </w:r>
          </w:p>
        </w:tc>
      </w:tr>
      <w:tr w:rsidR="00924AD2" w14:paraId="37838129" w14:textId="77777777">
        <w:tblPrEx>
          <w:tblCellMar>
            <w:top w:w="0" w:type="dxa"/>
            <w:bottom w:w="0" w:type="dxa"/>
          </w:tblCellMar>
        </w:tblPrEx>
        <w:tc>
          <w:tcPr>
            <w:tcW w:w="1700" w:type="dxa"/>
            <w:tcBorders>
              <w:top w:val="single" w:sz="1" w:space="0" w:color="CCCCCC"/>
              <w:left w:val="single" w:sz="1" w:space="0" w:color="CCCCCC"/>
              <w:bottom w:val="single" w:sz="1" w:space="0" w:color="CCCCCC"/>
              <w:right w:val="single" w:sz="1" w:space="0" w:color="CCCCCC"/>
            </w:tcBorders>
            <w:shd w:val="clear" w:color="auto" w:fill="F8FAFC"/>
            <w:tcMar>
              <w:top w:w="40" w:type="dxa"/>
              <w:left w:w="60" w:type="dxa"/>
              <w:bottom w:w="40" w:type="dxa"/>
              <w:right w:w="60" w:type="dxa"/>
            </w:tcMar>
          </w:tcPr>
          <w:p w14:paraId="6B84EFFF" w14:textId="77777777" w:rsidR="00924AD2" w:rsidRDefault="00000000">
            <w:r>
              <w:rPr>
                <w:b/>
                <w:bCs/>
                <w:sz w:val="16"/>
                <w:szCs w:val="16"/>
              </w:rPr>
              <w:t>Res. Primario</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65F7EBF1" w14:textId="77777777" w:rsidR="00924AD2" w:rsidRDefault="00000000">
            <w:r>
              <w:rPr>
                <w:sz w:val="16"/>
                <w:szCs w:val="16"/>
              </w:rPr>
              <w:t>% del PBI</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73236260" w14:textId="77777777" w:rsidR="00924AD2" w:rsidRDefault="00000000">
            <w:r>
              <w:rPr>
                <w:sz w:val="16"/>
                <w:szCs w:val="16"/>
              </w:rPr>
              <w:t>—</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2F81F74F" w14:textId="77777777" w:rsidR="00924AD2" w:rsidRDefault="00000000">
            <w:r>
              <w:rPr>
                <w:sz w:val="16"/>
                <w:szCs w:val="16"/>
              </w:rPr>
              <w:t>—</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27F9640C" w14:textId="77777777" w:rsidR="00924AD2" w:rsidRDefault="00000000">
            <w:r>
              <w:rPr>
                <w:sz w:val="16"/>
                <w:szCs w:val="16"/>
              </w:rPr>
              <w:t>1,2-1,5%</w:t>
            </w:r>
          </w:p>
        </w:tc>
        <w:tc>
          <w:tcPr>
            <w:tcW w:w="1760"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257FEBBD" w14:textId="77777777" w:rsidR="00924AD2" w:rsidRDefault="00000000">
            <w:r>
              <w:rPr>
                <w:sz w:val="16"/>
                <w:szCs w:val="16"/>
              </w:rPr>
              <w:t>1,3-1,6%</w:t>
            </w:r>
          </w:p>
        </w:tc>
      </w:tr>
      <w:tr w:rsidR="00924AD2" w14:paraId="4953E784" w14:textId="77777777">
        <w:tblPrEx>
          <w:tblCellMar>
            <w:top w:w="0" w:type="dxa"/>
            <w:bottom w:w="0" w:type="dxa"/>
          </w:tblCellMar>
        </w:tblPrEx>
        <w:tc>
          <w:tcPr>
            <w:tcW w:w="1700" w:type="dxa"/>
            <w:tcBorders>
              <w:top w:val="single" w:sz="1" w:space="0" w:color="CCCCCC"/>
              <w:left w:val="single" w:sz="1" w:space="0" w:color="CCCCCC"/>
              <w:bottom w:val="single" w:sz="1" w:space="0" w:color="CCCCCC"/>
              <w:right w:val="single" w:sz="1" w:space="0" w:color="CCCCCC"/>
            </w:tcBorders>
            <w:shd w:val="clear" w:color="auto" w:fill="F8FAFC"/>
            <w:tcMar>
              <w:top w:w="40" w:type="dxa"/>
              <w:left w:w="60" w:type="dxa"/>
              <w:bottom w:w="40" w:type="dxa"/>
              <w:right w:w="60" w:type="dxa"/>
            </w:tcMar>
          </w:tcPr>
          <w:p w14:paraId="4AFED105" w14:textId="77777777" w:rsidR="00924AD2" w:rsidRDefault="00000000">
            <w:r>
              <w:rPr>
                <w:b/>
                <w:bCs/>
                <w:sz w:val="16"/>
                <w:szCs w:val="16"/>
              </w:rPr>
              <w:t>Desocupación</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2CA57F77" w14:textId="77777777" w:rsidR="00924AD2" w:rsidRDefault="00000000">
            <w:r>
              <w:rPr>
                <w:sz w:val="16"/>
                <w:szCs w:val="16"/>
              </w:rPr>
              <w:t>% PEA (</w:t>
            </w:r>
            <w:proofErr w:type="spellStart"/>
            <w:r>
              <w:rPr>
                <w:sz w:val="16"/>
                <w:szCs w:val="16"/>
              </w:rPr>
              <w:t>trim</w:t>
            </w:r>
            <w:proofErr w:type="spellEnd"/>
            <w:r>
              <w:rPr>
                <w:sz w:val="16"/>
                <w:szCs w:val="16"/>
              </w:rPr>
              <w:t>.)</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6417B91E" w14:textId="77777777" w:rsidR="00924AD2" w:rsidRDefault="00000000">
            <w:r>
              <w:rPr>
                <w:sz w:val="16"/>
                <w:szCs w:val="16"/>
              </w:rPr>
              <w:t>—</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7D259946" w14:textId="77777777" w:rsidR="00924AD2" w:rsidRDefault="00000000">
            <w:r>
              <w:rPr>
                <w:sz w:val="16"/>
                <w:szCs w:val="16"/>
              </w:rPr>
              <w:t>6,4-6,9%</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2676096B" w14:textId="77777777" w:rsidR="00924AD2" w:rsidRDefault="00000000">
            <w:r>
              <w:rPr>
                <w:sz w:val="16"/>
                <w:szCs w:val="16"/>
              </w:rPr>
              <w:t>6,0-6,5%</w:t>
            </w:r>
          </w:p>
        </w:tc>
        <w:tc>
          <w:tcPr>
            <w:tcW w:w="1760"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1954126F" w14:textId="77777777" w:rsidR="00924AD2" w:rsidRDefault="00000000">
            <w:r>
              <w:rPr>
                <w:sz w:val="16"/>
                <w:szCs w:val="16"/>
              </w:rPr>
              <w:t>5,7-6,1%</w:t>
            </w:r>
          </w:p>
        </w:tc>
      </w:tr>
      <w:tr w:rsidR="00924AD2" w14:paraId="2EB33F2D" w14:textId="77777777">
        <w:tblPrEx>
          <w:tblCellMar>
            <w:top w:w="0" w:type="dxa"/>
            <w:bottom w:w="0" w:type="dxa"/>
          </w:tblCellMar>
        </w:tblPrEx>
        <w:tc>
          <w:tcPr>
            <w:tcW w:w="1700" w:type="dxa"/>
            <w:tcBorders>
              <w:top w:val="single" w:sz="1" w:space="0" w:color="CCCCCC"/>
              <w:left w:val="single" w:sz="1" w:space="0" w:color="CCCCCC"/>
              <w:bottom w:val="single" w:sz="1" w:space="0" w:color="CCCCCC"/>
              <w:right w:val="single" w:sz="1" w:space="0" w:color="CCCCCC"/>
            </w:tcBorders>
            <w:shd w:val="clear" w:color="auto" w:fill="F8FAFC"/>
            <w:tcMar>
              <w:top w:w="40" w:type="dxa"/>
              <w:left w:w="60" w:type="dxa"/>
              <w:bottom w:w="40" w:type="dxa"/>
              <w:right w:w="60" w:type="dxa"/>
            </w:tcMar>
          </w:tcPr>
          <w:p w14:paraId="32E59FD3" w14:textId="77777777" w:rsidR="00924AD2" w:rsidRDefault="00000000">
            <w:proofErr w:type="spellStart"/>
            <w:r>
              <w:rPr>
                <w:b/>
                <w:bCs/>
                <w:sz w:val="16"/>
                <w:szCs w:val="16"/>
              </w:rPr>
              <w:t>Export</w:t>
            </w:r>
            <w:proofErr w:type="spellEnd"/>
            <w:r>
              <w:rPr>
                <w:b/>
                <w:bCs/>
                <w:sz w:val="16"/>
                <w:szCs w:val="16"/>
              </w:rPr>
              <w:t>. FOB</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2E313892" w14:textId="77777777" w:rsidR="00924AD2" w:rsidRDefault="00000000">
            <w:r>
              <w:rPr>
                <w:sz w:val="16"/>
                <w:szCs w:val="16"/>
              </w:rPr>
              <w:t>Mill. USD</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3154077D" w14:textId="77777777" w:rsidR="00924AD2" w:rsidRDefault="00000000">
            <w:r>
              <w:rPr>
                <w:sz w:val="16"/>
                <w:szCs w:val="16"/>
              </w:rPr>
              <w:t>7.600-8.200</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7FB02710" w14:textId="77777777" w:rsidR="00924AD2" w:rsidRDefault="00000000">
            <w:r>
              <w:rPr>
                <w:sz w:val="16"/>
                <w:szCs w:val="16"/>
              </w:rPr>
              <w:t>6.800-7.400</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23D79D28" w14:textId="77777777" w:rsidR="00924AD2" w:rsidRDefault="00000000">
            <w:r>
              <w:rPr>
                <w:sz w:val="16"/>
                <w:szCs w:val="16"/>
              </w:rPr>
              <w:t>~94.000</w:t>
            </w:r>
          </w:p>
        </w:tc>
        <w:tc>
          <w:tcPr>
            <w:tcW w:w="1760"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21B4C340" w14:textId="77777777" w:rsidR="00924AD2" w:rsidRDefault="00000000">
            <w:r>
              <w:rPr>
                <w:sz w:val="16"/>
                <w:szCs w:val="16"/>
              </w:rPr>
              <w:t>—</w:t>
            </w:r>
          </w:p>
        </w:tc>
      </w:tr>
      <w:tr w:rsidR="00924AD2" w14:paraId="581ACE98" w14:textId="77777777">
        <w:tblPrEx>
          <w:tblCellMar>
            <w:top w:w="0" w:type="dxa"/>
            <w:bottom w:w="0" w:type="dxa"/>
          </w:tblCellMar>
        </w:tblPrEx>
        <w:tc>
          <w:tcPr>
            <w:tcW w:w="1700" w:type="dxa"/>
            <w:tcBorders>
              <w:top w:val="single" w:sz="1" w:space="0" w:color="CCCCCC"/>
              <w:left w:val="single" w:sz="1" w:space="0" w:color="CCCCCC"/>
              <w:bottom w:val="single" w:sz="1" w:space="0" w:color="CCCCCC"/>
              <w:right w:val="single" w:sz="1" w:space="0" w:color="CCCCCC"/>
            </w:tcBorders>
            <w:shd w:val="clear" w:color="auto" w:fill="F8FAFC"/>
            <w:tcMar>
              <w:top w:w="40" w:type="dxa"/>
              <w:left w:w="60" w:type="dxa"/>
              <w:bottom w:w="40" w:type="dxa"/>
              <w:right w:w="60" w:type="dxa"/>
            </w:tcMar>
          </w:tcPr>
          <w:p w14:paraId="2D8B5B6B" w14:textId="77777777" w:rsidR="00924AD2" w:rsidRDefault="00000000">
            <w:proofErr w:type="spellStart"/>
            <w:r>
              <w:rPr>
                <w:b/>
                <w:bCs/>
                <w:sz w:val="16"/>
                <w:szCs w:val="16"/>
              </w:rPr>
              <w:t>Import</w:t>
            </w:r>
            <w:proofErr w:type="spellEnd"/>
            <w:r>
              <w:rPr>
                <w:b/>
                <w:bCs/>
                <w:sz w:val="16"/>
                <w:szCs w:val="16"/>
              </w:rPr>
              <w:t>. CIF</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563EE8F1" w14:textId="77777777" w:rsidR="00924AD2" w:rsidRDefault="00000000">
            <w:r>
              <w:rPr>
                <w:sz w:val="16"/>
                <w:szCs w:val="16"/>
              </w:rPr>
              <w:t>Mill. USD</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467B53EC" w14:textId="77777777" w:rsidR="00924AD2" w:rsidRDefault="00000000">
            <w:r>
              <w:rPr>
                <w:sz w:val="16"/>
                <w:szCs w:val="16"/>
              </w:rPr>
              <w:t>6.100-6.500</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044F4D92" w14:textId="77777777" w:rsidR="00924AD2" w:rsidRDefault="00000000">
            <w:r>
              <w:rPr>
                <w:sz w:val="16"/>
                <w:szCs w:val="16"/>
              </w:rPr>
              <w:t>6.400-6.900</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715F7C6E" w14:textId="77777777" w:rsidR="00924AD2" w:rsidRDefault="00000000">
            <w:r>
              <w:rPr>
                <w:sz w:val="16"/>
                <w:szCs w:val="16"/>
              </w:rPr>
              <w:t>~75.000</w:t>
            </w:r>
          </w:p>
        </w:tc>
        <w:tc>
          <w:tcPr>
            <w:tcW w:w="1760"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7735701C" w14:textId="77777777" w:rsidR="00924AD2" w:rsidRDefault="00000000">
            <w:r>
              <w:rPr>
                <w:sz w:val="16"/>
                <w:szCs w:val="16"/>
              </w:rPr>
              <w:t>—</w:t>
            </w:r>
          </w:p>
        </w:tc>
      </w:tr>
    </w:tbl>
    <w:p w14:paraId="177470C4" w14:textId="77777777" w:rsidR="00924AD2" w:rsidRDefault="00000000">
      <w:pPr>
        <w:pStyle w:val="Ttulo1"/>
      </w:pPr>
      <w:r>
        <w:t>7. Metodología y Fuentes</w:t>
      </w:r>
    </w:p>
    <w:p w14:paraId="6916D6FB" w14:textId="77777777" w:rsidR="00924AD2" w:rsidRDefault="00000000">
      <w:pPr>
        <w:pStyle w:val="Ttulo2"/>
      </w:pPr>
      <w:r>
        <w:t>Metodología</w:t>
      </w:r>
    </w:p>
    <w:p w14:paraId="2C425BD6" w14:textId="77777777" w:rsidR="00924AD2" w:rsidRDefault="00000000">
      <w:pPr>
        <w:spacing w:after="120"/>
      </w:pPr>
      <w:r>
        <w:t xml:space="preserve">Las proyecciones del Equipo </w:t>
      </w:r>
      <w:proofErr w:type="spellStart"/>
      <w:r>
        <w:t>MacroLibre</w:t>
      </w:r>
      <w:proofErr w:type="spellEnd"/>
      <w:r>
        <w:t xml:space="preserve"> combinan: (i) análisis de tendencia de series de al menos 6-12 meses; (</w:t>
      </w:r>
      <w:proofErr w:type="spellStart"/>
      <w:r>
        <w:t>ii</w:t>
      </w:r>
      <w:proofErr w:type="spellEnd"/>
      <w:r>
        <w:t>) identificación explícita de factores de desvío (estacionalidad, calendario tarifario/paritarias, eventos de política, comercio exterior); (</w:t>
      </w:r>
      <w:proofErr w:type="spellStart"/>
      <w:r>
        <w:t>iii</w:t>
      </w:r>
      <w:proofErr w:type="spellEnd"/>
      <w:r>
        <w:t>) modelos de series de tiempo cuando la extensión lo permite; (</w:t>
      </w:r>
      <w:proofErr w:type="spellStart"/>
      <w:r>
        <w:t>iv</w:t>
      </w:r>
      <w:proofErr w:type="spellEnd"/>
      <w:r>
        <w:t xml:space="preserve">) juicio técnico para calibrar rangos de incertidumbre. Se actualizan mensualmente y constituyen el </w:t>
      </w:r>
      <w:proofErr w:type="spellStart"/>
      <w:r>
        <w:t>track</w:t>
      </w:r>
      <w:proofErr w:type="spellEnd"/>
      <w:r>
        <w:t xml:space="preserve"> </w:t>
      </w:r>
      <w:proofErr w:type="spellStart"/>
      <w:r>
        <w:t>record</w:t>
      </w:r>
      <w:proofErr w:type="spellEnd"/>
      <w:r>
        <w:t xml:space="preserve"> institucional en construcción para el REM-BCRA.</w:t>
      </w:r>
    </w:p>
    <w:p w14:paraId="08C9F5DD" w14:textId="77777777" w:rsidR="00924AD2" w:rsidRDefault="00000000">
      <w:pPr>
        <w:spacing w:after="120"/>
      </w:pPr>
      <w:r>
        <w:t xml:space="preserve">Clasificación </w:t>
      </w:r>
      <w:proofErr w:type="spellStart"/>
      <w:r>
        <w:t>leading</w:t>
      </w:r>
      <w:proofErr w:type="spellEnd"/>
      <w:r>
        <w:t>/</w:t>
      </w:r>
      <w:proofErr w:type="spellStart"/>
      <w:r>
        <w:t>coincident</w:t>
      </w:r>
      <w:proofErr w:type="spellEnd"/>
      <w:r>
        <w:t>/</w:t>
      </w:r>
      <w:proofErr w:type="spellStart"/>
      <w:r>
        <w:t>lagging</w:t>
      </w:r>
      <w:proofErr w:type="spellEnd"/>
      <w:r>
        <w:t xml:space="preserve"> utilizada consistentemente para separar señales de ruido.</w:t>
      </w:r>
    </w:p>
    <w:p w14:paraId="46E9DFF3" w14:textId="77777777" w:rsidR="00924AD2" w:rsidRDefault="00000000">
      <w:pPr>
        <w:pStyle w:val="Ttulo2"/>
      </w:pPr>
      <w:r>
        <w:t>Fuentes consultadas (validadas)</w:t>
      </w:r>
    </w:p>
    <w:p w14:paraId="15413DC1" w14:textId="77777777" w:rsidR="00924AD2" w:rsidRDefault="00000000">
      <w:pPr>
        <w:spacing w:after="60"/>
        <w:ind w:left="360"/>
      </w:pPr>
      <w:r>
        <w:t>• INDEC — IPC mayo 2026 (publicado 11/06/2026): indec.gob.ar</w:t>
      </w:r>
    </w:p>
    <w:p w14:paraId="02EACBBD" w14:textId="77777777" w:rsidR="00924AD2" w:rsidRDefault="00000000">
      <w:pPr>
        <w:spacing w:after="60"/>
        <w:ind w:left="360"/>
      </w:pPr>
      <w:r>
        <w:t>• INDEC — EMAE marzo 2026 (publicado 21/05/2026) + calendario abril 29/06: indec.gob.ar</w:t>
      </w:r>
    </w:p>
    <w:p w14:paraId="0496D519" w14:textId="77777777" w:rsidR="00924AD2" w:rsidRDefault="00000000">
      <w:pPr>
        <w:spacing w:after="60"/>
        <w:ind w:left="360"/>
      </w:pPr>
      <w:r>
        <w:t>• INDEC — Intercambio Comercial Argentino abril 2026 (publicado 20/05/2026): indec.gob.ar</w:t>
      </w:r>
    </w:p>
    <w:p w14:paraId="2979E5D8" w14:textId="77777777" w:rsidR="00924AD2" w:rsidRDefault="00000000">
      <w:pPr>
        <w:spacing w:after="60"/>
        <w:ind w:left="360"/>
      </w:pPr>
      <w:r>
        <w:t>• BCRA — Informe Monetario Mensual y datos de reservas diarias: bcra.gob.ar</w:t>
      </w:r>
    </w:p>
    <w:p w14:paraId="44735E0F" w14:textId="77777777" w:rsidR="00924AD2" w:rsidRDefault="00000000">
      <w:pPr>
        <w:spacing w:after="60"/>
        <w:ind w:left="360"/>
      </w:pPr>
      <w:r>
        <w:t>• Ministerio de Economía — Resultado fiscal SPNF abril 2026: economia.gob.ar</w:t>
      </w:r>
    </w:p>
    <w:p w14:paraId="18EC44CC" w14:textId="77777777" w:rsidR="00924AD2" w:rsidRDefault="00000000">
      <w:pPr>
        <w:spacing w:after="60"/>
        <w:ind w:left="360"/>
      </w:pPr>
      <w:r>
        <w:t>• FMI — Segunda revisión EFF (aprobada 21/05/2026): imf.org</w:t>
      </w:r>
    </w:p>
    <w:p w14:paraId="3B181216" w14:textId="77777777" w:rsidR="00924AD2" w:rsidRDefault="00000000">
      <w:pPr>
        <w:spacing w:after="60"/>
        <w:ind w:left="360"/>
      </w:pPr>
      <w:r>
        <w:t xml:space="preserve">• CAME, CACE, INDEC (supermercados), </w:t>
      </w:r>
      <w:proofErr w:type="spellStart"/>
      <w:r>
        <w:t>Scentia</w:t>
      </w:r>
      <w:proofErr w:type="spellEnd"/>
      <w:r>
        <w:t xml:space="preserve"> — datos de consumo heterogéneo.</w:t>
      </w:r>
    </w:p>
    <w:p w14:paraId="257AB6E0" w14:textId="77777777" w:rsidR="00924AD2" w:rsidRDefault="00000000">
      <w:pPr>
        <w:spacing w:after="60"/>
        <w:ind w:left="360"/>
      </w:pPr>
      <w:r>
        <w:t xml:space="preserve">• MacroLibre.com — </w:t>
      </w:r>
      <w:proofErr w:type="spellStart"/>
      <w:r>
        <w:t>dashboards</w:t>
      </w:r>
      <w:proofErr w:type="spellEnd"/>
      <w:r>
        <w:t xml:space="preserve"> y series procesadas en tiempo real.</w:t>
      </w:r>
    </w:p>
    <w:p w14:paraId="6FC683E4" w14:textId="77777777" w:rsidR="00924AD2" w:rsidRDefault="00924AD2">
      <w:pPr>
        <w:spacing w:after="120"/>
      </w:pPr>
    </w:p>
    <w:p w14:paraId="2DBEBDD6" w14:textId="77777777" w:rsidR="00924AD2" w:rsidRDefault="00000000">
      <w:pPr>
        <w:spacing w:after="120"/>
      </w:pPr>
      <w:r>
        <w:t>Edición N°2 — Junio 2026. Próxima edición: entre el 15 y 20 de julio de 2026.</w:t>
      </w:r>
    </w:p>
    <w:p w14:paraId="098585E6" w14:textId="77777777" w:rsidR="00924AD2" w:rsidRDefault="00000000">
      <w:pPr>
        <w:spacing w:after="120"/>
      </w:pPr>
      <w:r>
        <w:t>Contacto y plataforma: macrolibre.com — Pulso económico en tiempo real. Datos abiertos, actualizados y gratuitos.</w:t>
      </w:r>
    </w:p>
    <w:p w14:paraId="626E8326" w14:textId="77777777" w:rsidR="00924AD2" w:rsidRDefault="00000000">
      <w:pPr>
        <w:spacing w:before="200"/>
      </w:pPr>
      <w:r>
        <w:rPr>
          <w:i/>
          <w:iCs/>
          <w:color w:val="666666"/>
          <w:sz w:val="18"/>
          <w:szCs w:val="18"/>
        </w:rPr>
        <w:t>— Fin del Informe —</w:t>
      </w:r>
    </w:p>
    <w:sectPr w:rsidR="00924AD2">
      <w:headerReference w:type="default" r:id="rId12"/>
      <w:footerReference w:type="default" r:id="rId13"/>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ACA22" w14:textId="77777777" w:rsidR="00A9767A" w:rsidRDefault="00A9767A">
      <w:r>
        <w:separator/>
      </w:r>
    </w:p>
  </w:endnote>
  <w:endnote w:type="continuationSeparator" w:id="0">
    <w:p w14:paraId="0F4162ED" w14:textId="77777777" w:rsidR="00A9767A" w:rsidRDefault="00A976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0A196" w14:textId="0F54F056" w:rsidR="00924AD2" w:rsidRDefault="00000000">
    <w:pPr>
      <w:jc w:val="center"/>
    </w:pPr>
    <w:r>
      <w:rPr>
        <w:color w:val="666666"/>
        <w:sz w:val="16"/>
        <w:szCs w:val="16"/>
      </w:rPr>
      <w:t xml:space="preserve">macrolibre.com  |  Edición N°2 — Junio 2026  |  Página </w:t>
    </w:r>
    <w:r>
      <w:rPr>
        <w:color w:val="666666"/>
        <w:sz w:val="16"/>
        <w:szCs w:val="16"/>
      </w:rPr>
      <w:fldChar w:fldCharType="begin"/>
    </w:r>
    <w:r>
      <w:rPr>
        <w:color w:val="666666"/>
        <w:sz w:val="16"/>
        <w:szCs w:val="16"/>
      </w:rPr>
      <w:instrText>PAGE</w:instrText>
    </w:r>
    <w:r>
      <w:rPr>
        <w:color w:val="666666"/>
        <w:sz w:val="16"/>
        <w:szCs w:val="16"/>
      </w:rPr>
      <w:fldChar w:fldCharType="separate"/>
    </w:r>
    <w:r w:rsidR="00140DFC">
      <w:rPr>
        <w:noProof/>
        <w:color w:val="666666"/>
        <w:sz w:val="16"/>
        <w:szCs w:val="16"/>
      </w:rPr>
      <w:t>2</w:t>
    </w:r>
    <w:r>
      <w:rPr>
        <w:color w:val="66666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322D1" w14:textId="77777777" w:rsidR="00A9767A" w:rsidRDefault="00A9767A">
      <w:r>
        <w:separator/>
      </w:r>
    </w:p>
  </w:footnote>
  <w:footnote w:type="continuationSeparator" w:id="0">
    <w:p w14:paraId="67773FBC" w14:textId="77777777" w:rsidR="00A9767A" w:rsidRDefault="00A976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D33AB" w14:textId="77777777" w:rsidR="00924AD2" w:rsidRDefault="00000000">
    <w:proofErr w:type="spellStart"/>
    <w:r>
      <w:rPr>
        <w:color w:val="666666"/>
        <w:sz w:val="16"/>
        <w:szCs w:val="16"/>
      </w:rPr>
      <w:t>MacroLibre</w:t>
    </w:r>
    <w:proofErr w:type="spellEnd"/>
    <w:r>
      <w:rPr>
        <w:color w:val="666666"/>
        <w:sz w:val="16"/>
        <w:szCs w:val="16"/>
      </w:rPr>
      <w:t xml:space="preserve"> — Informe Macroeconómico Junio 2026 (Ed. N°2)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5661F3"/>
    <w:multiLevelType w:val="hybridMultilevel"/>
    <w:tmpl w:val="5A060B1A"/>
    <w:lvl w:ilvl="0" w:tplc="621C45BE">
      <w:start w:val="1"/>
      <w:numFmt w:val="bullet"/>
      <w:lvlText w:val="●"/>
      <w:lvlJc w:val="left"/>
      <w:pPr>
        <w:ind w:left="720" w:hanging="360"/>
      </w:pPr>
    </w:lvl>
    <w:lvl w:ilvl="1" w:tplc="DB32CDFC">
      <w:start w:val="1"/>
      <w:numFmt w:val="bullet"/>
      <w:lvlText w:val="○"/>
      <w:lvlJc w:val="left"/>
      <w:pPr>
        <w:ind w:left="1440" w:hanging="360"/>
      </w:pPr>
    </w:lvl>
    <w:lvl w:ilvl="2" w:tplc="C2B2BFB0">
      <w:start w:val="1"/>
      <w:numFmt w:val="bullet"/>
      <w:lvlText w:val="■"/>
      <w:lvlJc w:val="left"/>
      <w:pPr>
        <w:ind w:left="2160" w:hanging="360"/>
      </w:pPr>
    </w:lvl>
    <w:lvl w:ilvl="3" w:tplc="72FA4C04">
      <w:start w:val="1"/>
      <w:numFmt w:val="bullet"/>
      <w:lvlText w:val="●"/>
      <w:lvlJc w:val="left"/>
      <w:pPr>
        <w:ind w:left="2880" w:hanging="360"/>
      </w:pPr>
    </w:lvl>
    <w:lvl w:ilvl="4" w:tplc="9852FA5E">
      <w:start w:val="1"/>
      <w:numFmt w:val="bullet"/>
      <w:lvlText w:val="○"/>
      <w:lvlJc w:val="left"/>
      <w:pPr>
        <w:ind w:left="3600" w:hanging="360"/>
      </w:pPr>
    </w:lvl>
    <w:lvl w:ilvl="5" w:tplc="8ABEFB8C">
      <w:start w:val="1"/>
      <w:numFmt w:val="bullet"/>
      <w:lvlText w:val="■"/>
      <w:lvlJc w:val="left"/>
      <w:pPr>
        <w:ind w:left="4320" w:hanging="360"/>
      </w:pPr>
    </w:lvl>
    <w:lvl w:ilvl="6" w:tplc="E71EE668">
      <w:start w:val="1"/>
      <w:numFmt w:val="bullet"/>
      <w:lvlText w:val="●"/>
      <w:lvlJc w:val="left"/>
      <w:pPr>
        <w:ind w:left="5040" w:hanging="360"/>
      </w:pPr>
    </w:lvl>
    <w:lvl w:ilvl="7" w:tplc="C8029B4A">
      <w:start w:val="1"/>
      <w:numFmt w:val="bullet"/>
      <w:lvlText w:val="●"/>
      <w:lvlJc w:val="left"/>
      <w:pPr>
        <w:ind w:left="5760" w:hanging="360"/>
      </w:pPr>
    </w:lvl>
    <w:lvl w:ilvl="8" w:tplc="E51CFA54">
      <w:start w:val="1"/>
      <w:numFmt w:val="bullet"/>
      <w:lvlText w:val="●"/>
      <w:lvlJc w:val="left"/>
      <w:pPr>
        <w:ind w:left="6480" w:hanging="360"/>
      </w:pPr>
    </w:lvl>
  </w:abstractNum>
  <w:num w:numId="1" w16cid:durableId="64612560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AD2"/>
    <w:rsid w:val="00140DFC"/>
    <w:rsid w:val="008E3A9D"/>
    <w:rsid w:val="00924AD2"/>
    <w:rsid w:val="00A9767A"/>
    <w:rsid w:val="00BB736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ecimalSymbol w:val=","/>
  <w:listSeparator w:val=";"/>
  <w14:docId w14:val="325D4F80"/>
  <w15:docId w15:val="{A001ABB8-0C00-D64A-A44C-3535C483B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s-AR"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spacing w:before="300" w:after="160"/>
      <w:outlineLvl w:val="0"/>
    </w:pPr>
    <w:rPr>
      <w:b/>
      <w:bCs/>
      <w:color w:val="1A1A2E"/>
      <w:sz w:val="28"/>
      <w:szCs w:val="28"/>
    </w:rPr>
  </w:style>
  <w:style w:type="paragraph" w:styleId="Ttulo2">
    <w:name w:val="heading 2"/>
    <w:uiPriority w:val="9"/>
    <w:unhideWhenUsed/>
    <w:qFormat/>
    <w:pPr>
      <w:spacing w:before="220" w:after="120"/>
      <w:outlineLvl w:val="1"/>
    </w:pPr>
    <w:rPr>
      <w:b/>
      <w:bCs/>
      <w:color w:val="1A1A2E"/>
      <w:sz w:val="24"/>
      <w:szCs w:val="24"/>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25</TotalTime>
  <Pages>7</Pages>
  <Words>2124</Words>
  <Characters>12577</Characters>
  <Application>Microsoft Office Word</Application>
  <DocSecurity>0</DocSecurity>
  <Lines>292</Lines>
  <Paragraphs>216</Paragraphs>
  <ScaleCrop>false</ScaleCrop>
  <Company/>
  <LinksUpToDate>false</LinksUpToDate>
  <CharactersWithSpaces>14485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santiago Murcia</cp:lastModifiedBy>
  <cp:revision>3</cp:revision>
  <dcterms:created xsi:type="dcterms:W3CDTF">2026-06-12T20:45:00Z</dcterms:created>
  <dcterms:modified xsi:type="dcterms:W3CDTF">2026-06-12T21:23:00Z</dcterms:modified>
</cp:coreProperties>
</file>